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57F2" w14:textId="4695EB5F" w:rsidR="003A0BD8" w:rsidRPr="00167C3F" w:rsidRDefault="003A0BD8" w:rsidP="00B77F01">
      <w:bookmarkStart w:id="0" w:name="_Hlk147143854"/>
      <w:r w:rsidRPr="00167C3F">
        <w:rPr>
          <w:b/>
          <w:bCs/>
        </w:rPr>
        <w:t>T. Rowe Price –</w:t>
      </w:r>
      <w:r w:rsidR="00927F6E" w:rsidRPr="00167C3F">
        <w:rPr>
          <w:b/>
          <w:bCs/>
        </w:rPr>
        <w:t xml:space="preserve"> Mercato obbligazionario</w:t>
      </w:r>
      <w:r w:rsidR="00DC25D9" w:rsidRPr="00167C3F">
        <w:rPr>
          <w:b/>
          <w:bCs/>
        </w:rPr>
        <w:t>:</w:t>
      </w:r>
      <w:r w:rsidR="00976785" w:rsidRPr="00167C3F">
        <w:rPr>
          <w:b/>
          <w:bCs/>
        </w:rPr>
        <w:t xml:space="preserve"> </w:t>
      </w:r>
      <w:r w:rsidR="00167C3F">
        <w:rPr>
          <w:b/>
          <w:bCs/>
        </w:rPr>
        <w:t xml:space="preserve">dove trovare valore tra paesi </w:t>
      </w:r>
      <w:r w:rsidR="00976785" w:rsidRPr="00167C3F">
        <w:rPr>
          <w:b/>
          <w:bCs/>
        </w:rPr>
        <w:t>emergenti</w:t>
      </w:r>
      <w:r w:rsidR="00167C3F">
        <w:rPr>
          <w:b/>
          <w:bCs/>
        </w:rPr>
        <w:t xml:space="preserve"> e sviluppati</w:t>
      </w:r>
    </w:p>
    <w:p w14:paraId="4A668AF5" w14:textId="77777777" w:rsidR="003A0BD8" w:rsidRPr="00167C3F" w:rsidRDefault="003A0BD8" w:rsidP="00B77F01"/>
    <w:p w14:paraId="6C055A5F" w14:textId="5843C008" w:rsidR="00B77F01" w:rsidRPr="003A0BD8" w:rsidRDefault="003A0BD8" w:rsidP="00B77F01">
      <w:pPr>
        <w:rPr>
          <w:b/>
          <w:bCs/>
          <w:lang w:val="en-GB"/>
        </w:rPr>
      </w:pPr>
      <w:r>
        <w:rPr>
          <w:lang w:val="en-GB"/>
        </w:rPr>
        <w:t xml:space="preserve">A </w:t>
      </w:r>
      <w:proofErr w:type="spellStart"/>
      <w:r>
        <w:rPr>
          <w:lang w:val="en-GB"/>
        </w:rPr>
        <w:t>cura</w:t>
      </w:r>
      <w:proofErr w:type="spellEnd"/>
      <w:r>
        <w:rPr>
          <w:lang w:val="en-GB"/>
        </w:rPr>
        <w:t xml:space="preserve"> di </w:t>
      </w:r>
      <w:r w:rsidR="00B77F01" w:rsidRPr="003A0BD8">
        <w:rPr>
          <w:b/>
          <w:bCs/>
          <w:lang w:val="en-GB"/>
        </w:rPr>
        <w:t>Quentin Fitzsimmons, Co-Portfolio Manager</w:t>
      </w:r>
      <w:r w:rsidRPr="003A0BD8">
        <w:rPr>
          <w:b/>
          <w:bCs/>
          <w:lang w:val="en-GB"/>
        </w:rPr>
        <w:t xml:space="preserve">, Dynamic Global Bond Strategy, </w:t>
      </w:r>
      <w:r w:rsidR="00B77F01" w:rsidRPr="003A0BD8">
        <w:rPr>
          <w:b/>
          <w:bCs/>
          <w:lang w:val="en-GB"/>
        </w:rPr>
        <w:t>T. Rowe Pric</w:t>
      </w:r>
      <w:r w:rsidRPr="003A0BD8">
        <w:rPr>
          <w:b/>
          <w:bCs/>
          <w:lang w:val="en-GB"/>
        </w:rPr>
        <w:t>e</w:t>
      </w:r>
    </w:p>
    <w:p w14:paraId="185C3D49" w14:textId="77777777" w:rsidR="003A0BD8" w:rsidRPr="00C74E54" w:rsidRDefault="003A0BD8" w:rsidP="00C74E54">
      <w:pPr>
        <w:pStyle w:val="xxxmsolistparagraph"/>
        <w:ind w:left="0"/>
        <w:rPr>
          <w:lang w:val="en-GB"/>
        </w:rPr>
      </w:pPr>
    </w:p>
    <w:p w14:paraId="30C3AC12" w14:textId="797DD77C" w:rsidR="003A0BD8" w:rsidRPr="00167C3F" w:rsidRDefault="003A0BD8" w:rsidP="0058739E">
      <w:pPr>
        <w:pStyle w:val="xxxmsolistparagraph"/>
        <w:ind w:left="0"/>
      </w:pPr>
      <w:r w:rsidRPr="00167C3F">
        <w:t>Gli investitori continuano a navigare in un contesto di mercato incert</w:t>
      </w:r>
      <w:r w:rsidR="00A92507" w:rsidRPr="00167C3F">
        <w:t>o</w:t>
      </w:r>
      <w:r w:rsidRPr="00167C3F">
        <w:t xml:space="preserve">, </w:t>
      </w:r>
      <w:r w:rsidR="00DC25D9" w:rsidRPr="00167C3F">
        <w:t>a causa</w:t>
      </w:r>
      <w:r w:rsidRPr="00167C3F">
        <w:t xml:space="preserve"> </w:t>
      </w:r>
      <w:r w:rsidR="00DC25D9" w:rsidRPr="00167C3F">
        <w:t>del</w:t>
      </w:r>
      <w:r w:rsidRPr="00167C3F">
        <w:t>le implicazioni</w:t>
      </w:r>
      <w:r w:rsidR="00DC25D9" w:rsidRPr="00167C3F">
        <w:t xml:space="preserve"> del</w:t>
      </w:r>
      <w:r w:rsidRPr="00167C3F">
        <w:t xml:space="preserve">la politica monetaria globale in un'economia che sta sopportando un rallentamento della crescita in contrapposizione a un'inflazione di fondo vischiosa. </w:t>
      </w:r>
      <w:r w:rsidR="00DC25D9" w:rsidRPr="00167C3F">
        <w:t xml:space="preserve">Mentre molti si sono sentiti confortati dal fatto che l'inflazione complessiva </w:t>
      </w:r>
      <w:proofErr w:type="gramStart"/>
      <w:r w:rsidR="00A92507" w:rsidRPr="00167C3F">
        <w:t>sia</w:t>
      </w:r>
      <w:proofErr w:type="gramEnd"/>
      <w:r w:rsidR="00DC25D9" w:rsidRPr="00167C3F">
        <w:t xml:space="preserve"> scesa dai picchi del 2022, </w:t>
      </w:r>
      <w:r w:rsidR="00DC25D9" w:rsidRPr="00167C3F">
        <w:rPr>
          <w:b/>
          <w:bCs/>
        </w:rPr>
        <w:t>l'inflazione di fondo è stata meno clemente</w:t>
      </w:r>
      <w:r w:rsidR="00DC25D9" w:rsidRPr="00167C3F">
        <w:t>, con un mercato del lavoro forte che ha mantenuto alta la crescita dei salari e ha tenuto le banche centrali sulle spine.</w:t>
      </w:r>
      <w:r w:rsidRPr="00167C3F">
        <w:t xml:space="preserve"> In questo contesto, </w:t>
      </w:r>
      <w:r w:rsidRPr="00167C3F">
        <w:rPr>
          <w:b/>
          <w:bCs/>
        </w:rPr>
        <w:t xml:space="preserve">i policymakers hanno </w:t>
      </w:r>
      <w:r w:rsidR="00927F6E" w:rsidRPr="00167C3F">
        <w:rPr>
          <w:b/>
          <w:bCs/>
        </w:rPr>
        <w:t>rafforzato</w:t>
      </w:r>
      <w:r w:rsidRPr="00167C3F">
        <w:rPr>
          <w:b/>
          <w:bCs/>
        </w:rPr>
        <w:t xml:space="preserve"> la loro narrativa "higher for </w:t>
      </w:r>
      <w:proofErr w:type="spellStart"/>
      <w:r w:rsidRPr="00167C3F">
        <w:rPr>
          <w:b/>
          <w:bCs/>
        </w:rPr>
        <w:t>longer</w:t>
      </w:r>
      <w:proofErr w:type="spellEnd"/>
      <w:r w:rsidRPr="00167C3F">
        <w:rPr>
          <w:b/>
          <w:bCs/>
        </w:rPr>
        <w:t>"</w:t>
      </w:r>
      <w:r w:rsidRPr="00167C3F">
        <w:t xml:space="preserve">, </w:t>
      </w:r>
      <w:r w:rsidRPr="00167C3F">
        <w:rPr>
          <w:b/>
          <w:bCs/>
        </w:rPr>
        <w:t>facendo salire i rendimenti obbligazionari e rendendo più ripide le curve</w:t>
      </w:r>
      <w:r w:rsidRPr="00167C3F">
        <w:t xml:space="preserve">, in quanto gli investitori valutano le implicazioni di un periodo prolungato di politica restrittiva. Rimaniamo consapevoli degli indicatori di crescita, come i PMI, ma </w:t>
      </w:r>
      <w:r w:rsidRPr="00167C3F">
        <w:rPr>
          <w:b/>
          <w:bCs/>
        </w:rPr>
        <w:t xml:space="preserve">preferiamo esprimere questa posizione attraverso una posizione lunga sul dollaro statunitense </w:t>
      </w:r>
      <w:r w:rsidRPr="00167C3F">
        <w:t>e un forte orientamento verso curve più ripide, dato il suo profilo di bene rifugio e il desiderio della Fed di mantenere la politica restrittiva più a lungo.</w:t>
      </w:r>
    </w:p>
    <w:p w14:paraId="02F780F5" w14:textId="77777777" w:rsidR="00927F6E" w:rsidRDefault="00927F6E" w:rsidP="0058739E">
      <w:pPr>
        <w:pStyle w:val="xxxmsolistparagraph"/>
        <w:ind w:left="0"/>
        <w:rPr>
          <w:lang w:val="de-DE"/>
        </w:rPr>
      </w:pPr>
    </w:p>
    <w:p w14:paraId="195070AF" w14:textId="5B756B72" w:rsidR="00930819" w:rsidRDefault="00A92507" w:rsidP="0058739E">
      <w:pPr>
        <w:pStyle w:val="xxxmsolistparagraph"/>
        <w:ind w:left="0"/>
        <w:rPr>
          <w:u w:val="single"/>
        </w:rPr>
      </w:pPr>
      <w:r w:rsidRPr="00167C3F">
        <w:rPr>
          <w:u w:val="single"/>
        </w:rPr>
        <w:t>R</w:t>
      </w:r>
      <w:r w:rsidR="00930819" w:rsidRPr="00167C3F">
        <w:rPr>
          <w:u w:val="single"/>
        </w:rPr>
        <w:t xml:space="preserve">ialzi </w:t>
      </w:r>
      <w:r w:rsidRPr="00167C3F">
        <w:rPr>
          <w:u w:val="single"/>
        </w:rPr>
        <w:t xml:space="preserve">meno probabili </w:t>
      </w:r>
      <w:r w:rsidR="00930819" w:rsidRPr="00167C3F">
        <w:rPr>
          <w:u w:val="single"/>
        </w:rPr>
        <w:t>ma tassi più alti più a lungo</w:t>
      </w:r>
    </w:p>
    <w:p w14:paraId="5E2F730A" w14:textId="50941963" w:rsidR="00927F6E" w:rsidRPr="00167C3F" w:rsidRDefault="00927F6E" w:rsidP="0058739E">
      <w:pPr>
        <w:pStyle w:val="xxxmsolistparagraph"/>
        <w:ind w:left="0"/>
      </w:pPr>
      <w:r w:rsidRPr="00167C3F">
        <w:t xml:space="preserve">A meno di un ulteriore probabile rialzo da parte della Fed a novembre, le principali banche centrali </w:t>
      </w:r>
      <w:r w:rsidR="00B00E3B" w:rsidRPr="00167C3F">
        <w:t xml:space="preserve">continuano a far intendere </w:t>
      </w:r>
      <w:r w:rsidRPr="00167C3F">
        <w:t xml:space="preserve">di aver creato </w:t>
      </w:r>
      <w:r w:rsidRPr="00167C3F">
        <w:rPr>
          <w:b/>
          <w:bCs/>
        </w:rPr>
        <w:t>condizioni finanziarie sufficientemente restrittive per riportare l'inflazione ai livelli target.</w:t>
      </w:r>
      <w:r w:rsidRPr="00167C3F">
        <w:t xml:space="preserve"> Da questo punto di vista, il nostro scenario prevede che </w:t>
      </w:r>
      <w:r w:rsidRPr="00167C3F">
        <w:rPr>
          <w:b/>
          <w:bCs/>
        </w:rPr>
        <w:t>le banche centrali abbiano effettivamente concluso i rialzi.</w:t>
      </w:r>
      <w:r w:rsidRPr="00167C3F">
        <w:t xml:space="preserve"> Tuttavia, la questione dei tagli dei tassi è una questione diversa.</w:t>
      </w:r>
      <w:r w:rsidR="00930819" w:rsidRPr="00167C3F">
        <w:t xml:space="preserve"> Nel frattempo, in apparenza</w:t>
      </w:r>
      <w:r w:rsidR="00167C3F">
        <w:t>,</w:t>
      </w:r>
      <w:r w:rsidR="00930819" w:rsidRPr="00167C3F">
        <w:t xml:space="preserve"> i dati sull'inflazione di agosto sono stati buoni, ma scendendo nel dettaglio dell'inflazione al di fuori di cibo, energia e alloggi, o "</w:t>
      </w:r>
      <w:proofErr w:type="spellStart"/>
      <w:r w:rsidR="00930819" w:rsidRPr="00167C3F">
        <w:t>supercore</w:t>
      </w:r>
      <w:proofErr w:type="spellEnd"/>
      <w:r w:rsidR="00930819" w:rsidRPr="00167C3F">
        <w:t xml:space="preserve">", i dati suggeriscono che i progressi si sono arrestati. </w:t>
      </w:r>
      <w:r w:rsidR="00930819" w:rsidRPr="00167C3F">
        <w:rPr>
          <w:b/>
          <w:bCs/>
        </w:rPr>
        <w:t>La Fed potrebbe quindi mantenere i tassi di interesse in territorio restrittivo per un periodo prolungato</w:t>
      </w:r>
      <w:r w:rsidR="00930819" w:rsidRPr="00167C3F">
        <w:t>, sfidando la narrativa e i prezzi di mercato che prevedono tagli dei tassi nel 2024. Pur comunicando di fatto che i rialzi dei tassi sono finiti,</w:t>
      </w:r>
      <w:r w:rsidR="00930819" w:rsidRPr="00167C3F">
        <w:rPr>
          <w:b/>
          <w:bCs/>
        </w:rPr>
        <w:t xml:space="preserve"> l'accento è stato posto sulla necessità di tenere alta la guardia sui rischi di inflazione</w:t>
      </w:r>
      <w:r w:rsidR="00930819" w:rsidRPr="00167C3F">
        <w:t>, il che significa che i tassi di interesse rimarranno probabilmente elevati a meno che l'Eurozona non si indebolisca drasticamente e rapidamente.</w:t>
      </w:r>
    </w:p>
    <w:p w14:paraId="68A1472B" w14:textId="104E5836" w:rsidR="00930819" w:rsidRPr="0058739E" w:rsidRDefault="00B77F01" w:rsidP="0058739E">
      <w:pPr>
        <w:pStyle w:val="xxxxmsolistparagraph"/>
        <w:ind w:left="0" w:hanging="360"/>
      </w:pPr>
      <w:r>
        <w:rPr>
          <w:b/>
          <w:bCs/>
          <w:sz w:val="20"/>
          <w:szCs w:val="20"/>
          <w:lang w:val="de-DE"/>
        </w:rPr>
        <w:t> </w:t>
      </w:r>
    </w:p>
    <w:p w14:paraId="445CAE5A" w14:textId="77777777" w:rsidR="009922ED" w:rsidRDefault="009922ED" w:rsidP="0058739E">
      <w:pPr>
        <w:pStyle w:val="xxxmsolistparagraph"/>
        <w:ind w:left="0"/>
        <w:rPr>
          <w:u w:val="single"/>
        </w:rPr>
      </w:pPr>
      <w:r w:rsidRPr="00167C3F">
        <w:rPr>
          <w:u w:val="single"/>
        </w:rPr>
        <w:t>I bond più attrattivi a livello globale</w:t>
      </w:r>
    </w:p>
    <w:p w14:paraId="0447E540" w14:textId="6C3BC20D" w:rsidR="00930819" w:rsidRPr="00167C3F" w:rsidRDefault="00930819" w:rsidP="0058739E">
      <w:pPr>
        <w:pStyle w:val="xxxmsolistparagraph"/>
        <w:ind w:left="0"/>
      </w:pPr>
      <w:r w:rsidRPr="00167C3F">
        <w:rPr>
          <w:b/>
          <w:bCs/>
        </w:rPr>
        <w:t>Alcuni mercati emergenti sono stati tra i primi ad aumentare i tassi nel 2021</w:t>
      </w:r>
      <w:r w:rsidRPr="00167C3F">
        <w:t xml:space="preserve">, in risposta alle crescenti pressioni inflazionistiche e al desiderio di difendere la propria credibilità sul mercato. Quelli che si sono mossi per primi hanno offerto interessanti opportunità di aggiungere duration a livelli di </w:t>
      </w:r>
      <w:proofErr w:type="spellStart"/>
      <w:r w:rsidRPr="00167C3F">
        <w:t>carry</w:t>
      </w:r>
      <w:proofErr w:type="spellEnd"/>
      <w:r w:rsidRPr="00167C3F">
        <w:t xml:space="preserve"> interessanti e </w:t>
      </w:r>
      <w:r w:rsidRPr="00167C3F">
        <w:rPr>
          <w:b/>
          <w:bCs/>
        </w:rPr>
        <w:t xml:space="preserve">noi ci siamo esposti in particolare sui </w:t>
      </w:r>
      <w:r w:rsidR="00B00E3B" w:rsidRPr="00167C3F">
        <w:rPr>
          <w:b/>
          <w:bCs/>
        </w:rPr>
        <w:t>p</w:t>
      </w:r>
      <w:r w:rsidRPr="00167C3F">
        <w:rPr>
          <w:b/>
          <w:bCs/>
        </w:rPr>
        <w:t>aesi dell'America Latina</w:t>
      </w:r>
      <w:r w:rsidRPr="00167C3F">
        <w:t>.</w:t>
      </w:r>
      <w:r w:rsidR="009922ED" w:rsidRPr="00167C3F">
        <w:t xml:space="preserve"> Tuttavia, poiché abbiamo assistito a un recupero dei mercati sviluppati, le valutazioni relative sono diventate meno convincenti e preferiamo utilizzare la duration dei tassi chiave come strumento di generazione di alfa. In particolare, </w:t>
      </w:r>
      <w:r w:rsidR="009922ED" w:rsidRPr="00167C3F">
        <w:rPr>
          <w:b/>
          <w:bCs/>
        </w:rPr>
        <w:t>la pancia delle curve dei mercati sviluppati appa</w:t>
      </w:r>
      <w:r w:rsidR="00A92507" w:rsidRPr="00167C3F">
        <w:rPr>
          <w:b/>
          <w:bCs/>
        </w:rPr>
        <w:t>re</w:t>
      </w:r>
      <w:r w:rsidR="009922ED" w:rsidRPr="00167C3F">
        <w:rPr>
          <w:b/>
          <w:bCs/>
        </w:rPr>
        <w:t xml:space="preserve"> particolarmente interessant</w:t>
      </w:r>
      <w:r w:rsidR="00A92507" w:rsidRPr="00167C3F">
        <w:rPr>
          <w:b/>
          <w:bCs/>
        </w:rPr>
        <w:t>e</w:t>
      </w:r>
      <w:r w:rsidR="009922ED" w:rsidRPr="00167C3F">
        <w:t>, dato il livello dei rendimenti offerti e le scarse prospettive di crescita a medio termine. Tuttavia, siamo consapevoli di essere in anticipo rispetto a questa operazione e ci concentriamo sull'anticipazione dell'inizio dell'</w:t>
      </w:r>
      <w:proofErr w:type="spellStart"/>
      <w:r w:rsidR="009922ED" w:rsidRPr="00167C3F">
        <w:t>irripidimento</w:t>
      </w:r>
      <w:proofErr w:type="spellEnd"/>
      <w:r w:rsidR="009922ED" w:rsidRPr="00167C3F">
        <w:t xml:space="preserve"> delle curve dei rendimenti, sia in senso tradizionalmente rialzista, sia in senso ribassista.</w:t>
      </w:r>
    </w:p>
    <w:p w14:paraId="3BC3BB20" w14:textId="0E3131C0" w:rsidR="009922ED" w:rsidRPr="0058739E" w:rsidRDefault="00B77F01" w:rsidP="0058739E">
      <w:pPr>
        <w:pStyle w:val="xxxxmsolistparagraph"/>
        <w:ind w:left="0"/>
      </w:pPr>
      <w:r>
        <w:rPr>
          <w:lang w:val="de-DE"/>
        </w:rPr>
        <w:t> </w:t>
      </w:r>
    </w:p>
    <w:p w14:paraId="0396F5D4" w14:textId="1D8F4A5D" w:rsidR="009922ED" w:rsidRPr="00C74E54" w:rsidRDefault="009922ED" w:rsidP="0058739E">
      <w:pPr>
        <w:pStyle w:val="xxxmsolistparagraph"/>
        <w:ind w:left="0"/>
      </w:pPr>
      <w:r w:rsidRPr="00167C3F">
        <w:rPr>
          <w:b/>
          <w:bCs/>
        </w:rPr>
        <w:t>Continuiamo ad essere attivi nella gestione della duration</w:t>
      </w:r>
      <w:r w:rsidRPr="00167C3F">
        <w:t xml:space="preserve">, </w:t>
      </w:r>
      <w:r w:rsidRPr="00167C3F">
        <w:rPr>
          <w:b/>
          <w:bCs/>
        </w:rPr>
        <w:t xml:space="preserve">mescolando le esposizioni a una serie di </w:t>
      </w:r>
      <w:r w:rsidR="00B00E3B" w:rsidRPr="00167C3F">
        <w:rPr>
          <w:b/>
          <w:bCs/>
        </w:rPr>
        <w:t>p</w:t>
      </w:r>
      <w:r w:rsidRPr="00167C3F">
        <w:rPr>
          <w:b/>
          <w:bCs/>
        </w:rPr>
        <w:t>aesi in cui i cicli politici si trovano in fasi leggermente diverse</w:t>
      </w:r>
      <w:r w:rsidRPr="00167C3F">
        <w:t xml:space="preserve">: più lunghi in alcuni e più brevi in altri. Al momento ci concentriamo sulla narrativa "higher for </w:t>
      </w:r>
      <w:proofErr w:type="spellStart"/>
      <w:r w:rsidRPr="00167C3F">
        <w:t>longer</w:t>
      </w:r>
      <w:proofErr w:type="spellEnd"/>
      <w:r w:rsidRPr="00167C3F">
        <w:t xml:space="preserve">", combinata con un deterioramento del contesto di liquidità che dovrebbe spingere al rialzo i rendimenti a lungo termine. Di conseguenza, </w:t>
      </w:r>
      <w:r w:rsidRPr="00167C3F">
        <w:rPr>
          <w:b/>
          <w:bCs/>
        </w:rPr>
        <w:t>abbiamo ridotto la duration complessiva del portafoglio, pur mantenendo una preferenza per gli Stati Uniti e l'</w:t>
      </w:r>
      <w:r w:rsidR="00B00E3B" w:rsidRPr="00167C3F">
        <w:rPr>
          <w:b/>
          <w:bCs/>
        </w:rPr>
        <w:t>Eurozona</w:t>
      </w:r>
      <w:r w:rsidRPr="00167C3F">
        <w:t xml:space="preserve">, data la difficile dinamica di crescita a medio termine. </w:t>
      </w:r>
      <w:r w:rsidR="00B00E3B" w:rsidRPr="00C74E54">
        <w:t>Inoltre,</w:t>
      </w:r>
      <w:r w:rsidRPr="00C74E54">
        <w:t xml:space="preserve"> abbiamo aumentato la duration del Regno Unito</w:t>
      </w:r>
      <w:r w:rsidR="00B00E3B" w:rsidRPr="00C74E54">
        <w:t>.</w:t>
      </w:r>
    </w:p>
    <w:p w14:paraId="121DDAC9" w14:textId="7CC0DED3" w:rsidR="009922ED" w:rsidRPr="00C74E54" w:rsidRDefault="00B77F01" w:rsidP="0058739E">
      <w:pPr>
        <w:pStyle w:val="xxxxmsolistparagraph"/>
        <w:ind w:left="0"/>
      </w:pPr>
      <w:r w:rsidRPr="00C74E54">
        <w:t> </w:t>
      </w:r>
    </w:p>
    <w:p w14:paraId="1E5EFA3C" w14:textId="6EFF177A" w:rsidR="009922ED" w:rsidRDefault="009922ED" w:rsidP="0058739E">
      <w:pPr>
        <w:pStyle w:val="xxxmsolistparagraph"/>
        <w:ind w:left="0"/>
        <w:rPr>
          <w:u w:val="single"/>
        </w:rPr>
      </w:pPr>
      <w:r w:rsidRPr="00167C3F">
        <w:rPr>
          <w:u w:val="single"/>
        </w:rPr>
        <w:t>Puntare sulle obbligazioni sovrane</w:t>
      </w:r>
    </w:p>
    <w:p w14:paraId="3F509982" w14:textId="0B6BFA0D" w:rsidR="009922ED" w:rsidRPr="00167C3F" w:rsidRDefault="00167C3F" w:rsidP="0058739E">
      <w:pPr>
        <w:pStyle w:val="xxxmsolistparagraph"/>
        <w:ind w:left="0"/>
      </w:pPr>
      <w:r>
        <w:t>Puntando</w:t>
      </w:r>
      <w:r w:rsidR="009922ED" w:rsidRPr="00167C3F">
        <w:t xml:space="preserve"> alla diversificazione dagli asset di rischio e alla performance in contesti di mercato stressati, preferiamo detenere </w:t>
      </w:r>
      <w:r w:rsidR="009922ED" w:rsidRPr="00167C3F">
        <w:rPr>
          <w:b/>
          <w:bCs/>
        </w:rPr>
        <w:t xml:space="preserve">un'elevata allocazione in asset liquidi di alta qualità, come le obbligazioni sovrane. </w:t>
      </w:r>
      <w:r w:rsidR="009922ED" w:rsidRPr="00167C3F">
        <w:t xml:space="preserve">Questo ci consente di avere un'esposizione che limita il rischio di liquidità, garantendo al contempo ai </w:t>
      </w:r>
      <w:r w:rsidR="009922ED" w:rsidRPr="00167C3F">
        <w:lastRenderedPageBreak/>
        <w:t xml:space="preserve">nostri clienti la possibilità di accedere a capitale liquido quando ne hanno bisogno, in particolare nei periodi di illiquidità del mercato.  </w:t>
      </w:r>
    </w:p>
    <w:p w14:paraId="1B02A55E" w14:textId="4508C6D6" w:rsidR="00DC25D9" w:rsidRPr="0058739E" w:rsidRDefault="00B77F01" w:rsidP="0058739E">
      <w:pPr>
        <w:pStyle w:val="xxxxmsolistparagraph"/>
        <w:ind w:left="0"/>
      </w:pPr>
      <w:r>
        <w:rPr>
          <w:lang w:val="de-DE"/>
        </w:rPr>
        <w:t> </w:t>
      </w:r>
    </w:p>
    <w:p w14:paraId="4861A888" w14:textId="0DD87B8F" w:rsidR="008A281B" w:rsidRPr="00167C3F" w:rsidRDefault="00167C3F" w:rsidP="0058739E">
      <w:pPr>
        <w:pStyle w:val="xxmsonormal"/>
        <w:rPr>
          <w:color w:val="FF0000"/>
        </w:rPr>
      </w:pPr>
      <w:r>
        <w:rPr>
          <w:b/>
          <w:bCs/>
        </w:rPr>
        <w:t>In particolare,</w:t>
      </w:r>
      <w:r w:rsidR="009F67D3" w:rsidRPr="00167C3F">
        <w:rPr>
          <w:b/>
          <w:bCs/>
        </w:rPr>
        <w:t xml:space="preserve"> </w:t>
      </w:r>
      <w:r>
        <w:rPr>
          <w:b/>
          <w:bCs/>
        </w:rPr>
        <w:t xml:space="preserve">puntiamo su </w:t>
      </w:r>
      <w:r w:rsidR="009F67D3" w:rsidRPr="00167C3F">
        <w:rPr>
          <w:b/>
          <w:bCs/>
        </w:rPr>
        <w:t>emittenti sovrani</w:t>
      </w:r>
      <w:r w:rsidR="009F67D3" w:rsidRPr="00167C3F">
        <w:t xml:space="preserve"> come il Messico e la Colombia</w:t>
      </w:r>
      <w:r>
        <w:t>, in una logica</w:t>
      </w:r>
      <w:r w:rsidR="009F67D3" w:rsidRPr="00167C3F">
        <w:t xml:space="preserve"> legata al processo di investimento che ha individuato il buon valore intrinseco fornito da quest</w:t>
      </w:r>
      <w:r w:rsidR="00DC25D9" w:rsidRPr="00167C3F">
        <w:t>e</w:t>
      </w:r>
      <w:r w:rsidR="009F67D3" w:rsidRPr="00167C3F">
        <w:t xml:space="preserve"> banche centrali</w:t>
      </w:r>
      <w:r w:rsidR="00DC25D9" w:rsidRPr="00167C3F">
        <w:t xml:space="preserve"> “rialziste”</w:t>
      </w:r>
      <w:r w:rsidR="009F67D3" w:rsidRPr="00167C3F">
        <w:t xml:space="preserve">. Negli ultimi tempi, tuttavia, </w:t>
      </w:r>
      <w:r w:rsidR="009F67D3" w:rsidRPr="00167C3F">
        <w:rPr>
          <w:b/>
          <w:bCs/>
        </w:rPr>
        <w:t>abbiamo moderato le nostre esposizioni in questo ambito</w:t>
      </w:r>
      <w:r w:rsidR="009F67D3" w:rsidRPr="00167C3F">
        <w:t>, poiché i rendimenti più elevati dei mercati core o sviluppati inizieranno a competere con i mercati emergenti.</w:t>
      </w:r>
      <w:bookmarkEnd w:id="0"/>
    </w:p>
    <w:sectPr w:rsidR="008A281B" w:rsidRPr="00167C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6BB"/>
    <w:multiLevelType w:val="multilevel"/>
    <w:tmpl w:val="597A32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67064"/>
    <w:multiLevelType w:val="multilevel"/>
    <w:tmpl w:val="1AA458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A550B"/>
    <w:multiLevelType w:val="multilevel"/>
    <w:tmpl w:val="90326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D604E"/>
    <w:multiLevelType w:val="multilevel"/>
    <w:tmpl w:val="B56A5B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D67D2"/>
    <w:multiLevelType w:val="multilevel"/>
    <w:tmpl w:val="7AAA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DC3881"/>
    <w:multiLevelType w:val="multilevel"/>
    <w:tmpl w:val="E57E99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79533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187664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108347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758145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392141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80155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1B"/>
    <w:rsid w:val="00167C3F"/>
    <w:rsid w:val="003A0BD8"/>
    <w:rsid w:val="0058739E"/>
    <w:rsid w:val="008A281B"/>
    <w:rsid w:val="00927F6E"/>
    <w:rsid w:val="00930819"/>
    <w:rsid w:val="00976785"/>
    <w:rsid w:val="009922ED"/>
    <w:rsid w:val="009F67D3"/>
    <w:rsid w:val="00A92507"/>
    <w:rsid w:val="00B00E3B"/>
    <w:rsid w:val="00B77F01"/>
    <w:rsid w:val="00C74E54"/>
    <w:rsid w:val="00DC25D9"/>
    <w:rsid w:val="00F8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B918"/>
  <w15:chartTrackingRefBased/>
  <w15:docId w15:val="{78E1F98B-2994-49F9-A8DA-1700E03C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7F0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msonormal">
    <w:name w:val="x_xmsonormal"/>
    <w:basedOn w:val="Normale"/>
    <w:rsid w:val="00B77F01"/>
    <w:rPr>
      <w:lang w:eastAsia="it-IT"/>
    </w:rPr>
  </w:style>
  <w:style w:type="paragraph" w:customStyle="1" w:styleId="xxxxmsolistparagraph">
    <w:name w:val="x_xxxmsolistparagraph"/>
    <w:basedOn w:val="Normale"/>
    <w:rsid w:val="00B77F01"/>
    <w:pPr>
      <w:ind w:left="720"/>
    </w:pPr>
    <w:rPr>
      <w:lang w:eastAsia="it-IT"/>
    </w:rPr>
  </w:style>
  <w:style w:type="paragraph" w:customStyle="1" w:styleId="xxxmsolistparagraph">
    <w:name w:val="x_xxmsolistparagraph"/>
    <w:basedOn w:val="Normale"/>
    <w:rsid w:val="00B77F01"/>
    <w:pPr>
      <w:ind w:left="720"/>
    </w:pPr>
    <w:rPr>
      <w:lang w:eastAsia="it-IT"/>
    </w:rPr>
  </w:style>
  <w:style w:type="paragraph" w:styleId="Revisione">
    <w:name w:val="Revision"/>
    <w:hidden/>
    <w:uiPriority w:val="99"/>
    <w:semiHidden/>
    <w:rsid w:val="00167C3F"/>
    <w:pPr>
      <w:spacing w:after="0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Bogo</dc:creator>
  <cp:keywords/>
  <dc:description/>
  <cp:lastModifiedBy>Diana Ferla</cp:lastModifiedBy>
  <cp:revision>10</cp:revision>
  <dcterms:created xsi:type="dcterms:W3CDTF">2023-09-27T09:31:00Z</dcterms:created>
  <dcterms:modified xsi:type="dcterms:W3CDTF">2023-10-02T10:59:00Z</dcterms:modified>
</cp:coreProperties>
</file>