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7C62" w14:textId="73E2E79B" w:rsidR="00D16084" w:rsidRPr="00304DE3" w:rsidRDefault="00304DE3" w:rsidP="00D16084">
      <w:pPr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T. Rowe Price </w:t>
      </w:r>
      <w:r w:rsid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- </w:t>
      </w:r>
      <w:r w:rsidR="0077054D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Azionario emergente: il rendimento varrà il rischio</w:t>
      </w:r>
      <w:r w:rsidR="0011654E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</w:t>
      </w:r>
    </w:p>
    <w:p w14:paraId="40F6CCD6" w14:textId="77777777" w:rsidR="00D16084" w:rsidRPr="00304DE3" w:rsidRDefault="00D16084" w:rsidP="00D16084">
      <w:pPr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</w:p>
    <w:p w14:paraId="121CF542" w14:textId="41BEAF90" w:rsidR="00D16084" w:rsidRPr="007A3899" w:rsidRDefault="00D16084" w:rsidP="00D16084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en-US"/>
        </w:rPr>
      </w:pPr>
      <w:r w:rsidRPr="007A3899">
        <w:rPr>
          <w:rFonts w:ascii="Calibri" w:hAnsi="Calibri" w:cs="Calibri"/>
          <w:kern w:val="0"/>
          <w:sz w:val="22"/>
          <w:szCs w:val="22"/>
          <w:lang w:val="en-US"/>
        </w:rPr>
        <w:t xml:space="preserve">A cura di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en-US"/>
        </w:rPr>
        <w:t>Ernest Yeung</w:t>
      </w:r>
      <w:r w:rsidR="00304DE3" w:rsidRPr="007A3899">
        <w:rPr>
          <w:rFonts w:ascii="Calibri" w:hAnsi="Calibri" w:cs="Calibri"/>
          <w:b/>
          <w:bCs/>
          <w:kern w:val="0"/>
          <w:sz w:val="22"/>
          <w:szCs w:val="22"/>
          <w:lang w:val="en-US"/>
        </w:rPr>
        <w:t>,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en-US"/>
        </w:rPr>
        <w:t xml:space="preserve"> Portfolio Manager, Emerging Markets Discovery Equity Strategy, T. Rowe Price </w:t>
      </w:r>
    </w:p>
    <w:p w14:paraId="6E44E89D" w14:textId="77777777" w:rsidR="00D16084" w:rsidRPr="007A3899" w:rsidRDefault="00D16084" w:rsidP="00D1608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en-US"/>
        </w:rPr>
      </w:pPr>
    </w:p>
    <w:p w14:paraId="2964F861" w14:textId="2E1B5C7B" w:rsidR="001119BA" w:rsidRPr="00304DE3" w:rsidRDefault="001119BA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Il contesto economico globale è molto complesso: gli indicatori economici sono in allarme, la liquidità viene drenata dal sistema finanziario e i rendimenti dei mercati azionari si sono concentrati in aree specifiche. Anche i mercati emergenti hanno dovuto affrontare venti contrari che hanno ostacolato la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 xml:space="preserve">loro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performance. A ciò si aggiunge il fatto che la curva dei rendimenti si è invertita da oltre un anno, aumentando le prospettive di una recessione negli Stati Uniti. </w:t>
      </w:r>
    </w:p>
    <w:p w14:paraId="21995E15" w14:textId="2FFD9D59" w:rsidR="001119BA" w:rsidRDefault="001119BA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A prima vista, quindi, potrebbe non sembrare il momento ideale per prendere in considerazione allocazioni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in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p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aesi emergenti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, soprattutto in considerazione della loro dipendenza dal commercio globale e dalle esportazioni. </w:t>
      </w:r>
    </w:p>
    <w:p w14:paraId="59E46DA0" w14:textId="77777777" w:rsidR="00ED3859" w:rsidRPr="00304DE3" w:rsidRDefault="00ED3859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13BB11FD" w14:textId="66B5396C" w:rsidR="001119BA" w:rsidRPr="00304DE3" w:rsidRDefault="001119BA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Tuttavia, riteniamo che stiano iniziando a formarsi fattori specifici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per un’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inversione di tendenza. Inoltre, se dovessimo assistere a una recessione breve o lieve, come previsto da molti economisti,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i mercati emergenti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potrebbero trovarsi in una buona posizione per ottenere risultati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, dato che storicamente sono stati i primi beneficiari delle riprese economiche.</w:t>
      </w:r>
    </w:p>
    <w:p w14:paraId="0B711C89" w14:textId="77777777" w:rsidR="00D16084" w:rsidRPr="00304DE3" w:rsidRDefault="00D16084" w:rsidP="00D1608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</w:p>
    <w:p w14:paraId="0EBC1155" w14:textId="5168C351" w:rsidR="001119BA" w:rsidRPr="00304DE3" w:rsidRDefault="001119BA" w:rsidP="00D1608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È probabile che i venti contrari si trasformino in venti </w:t>
      </w:r>
      <w:r w:rsidR="00567453">
        <w:rPr>
          <w:rFonts w:ascii="Calibri" w:hAnsi="Calibri" w:cs="Calibri"/>
          <w:kern w:val="0"/>
          <w:sz w:val="22"/>
          <w:szCs w:val="22"/>
          <w:u w:val="single"/>
          <w:lang w:val="it-IT"/>
        </w:rPr>
        <w:t>favorevoli</w:t>
      </w:r>
      <w:r w:rsidRPr="00304DE3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 </w:t>
      </w:r>
    </w:p>
    <w:p w14:paraId="3F2EF07F" w14:textId="43A3507A" w:rsidR="001119BA" w:rsidRPr="007A3899" w:rsidRDefault="001119BA" w:rsidP="001119BA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Non c’è dubbio che negli ultimi anni i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p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aesi emergenti abbiano registrato una performance negativa rispetto ai mercati sviluppati.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Il dollaro forte, le tensioni geopolitiche, la deludente crescita degli utili e la riduzione del premio di crescita economica rispetto ai mercati sviluppati hanno pesato molto sul sentiment. Più di recente, anche le tendenze alla deglobalizzazione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,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con un maggiore protezionismo e l’on</w:t>
      </w:r>
      <w:r w:rsidR="007A3899">
        <w:rPr>
          <w:rFonts w:ascii="Calibri" w:hAnsi="Calibri" w:cs="Calibri"/>
          <w:kern w:val="0"/>
          <w:sz w:val="22"/>
          <w:szCs w:val="22"/>
          <w:lang w:val="it-IT"/>
        </w:rPr>
        <w:t>-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shoring della produzione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,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hanno contribuito a limitare la crescita. Tuttavia, guardando più lontano, questi stessi venti contrari potrebbero diventare potenziali venti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favorevoli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nel corso delle prossime fasi del ciclo economico e azionario.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Grazie alle valutazioni compresse, all’indebolimento del dollaro statunitense, al picco dell’inflazione in molti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p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aesi dei mercati emergenti e al potenziale taglio dei tassi d’interesse, si stanno formando gli ingredienti per le prime fasi della ripresa. </w:t>
      </w:r>
    </w:p>
    <w:p w14:paraId="06CCFB47" w14:textId="77777777" w:rsidR="001119BA" w:rsidRPr="00304DE3" w:rsidRDefault="001119BA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00D07CAF" w14:textId="56277AEA" w:rsidR="001119BA" w:rsidRPr="00304DE3" w:rsidRDefault="001119BA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Le valutazioni sono particolarmente interessanti rispetto ad altri mercati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 xml:space="preserve">e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le stime sugli utili degli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emergenti</w:t>
      </w:r>
      <w:r w:rsidR="0056745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sono già state fortemente ridimensionate,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quindi</w:t>
      </w:r>
      <w:r w:rsidR="007A3899">
        <w:rPr>
          <w:rFonts w:ascii="Calibri" w:hAnsi="Calibri" w:cs="Calibri"/>
          <w:kern w:val="0"/>
          <w:sz w:val="22"/>
          <w:szCs w:val="22"/>
          <w:lang w:val="it-IT"/>
        </w:rPr>
        <w:t xml:space="preserve">,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ci aspettiamo che si riprendano quando l’economia globale avrà toccato il fondo per poi riprendersi.</w:t>
      </w:r>
    </w:p>
    <w:p w14:paraId="594BE74A" w14:textId="77777777" w:rsidR="001119BA" w:rsidRPr="00304DE3" w:rsidRDefault="001119BA" w:rsidP="001119BA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239F4955" w14:textId="3A8A3E38" w:rsidR="00D16084" w:rsidRPr="00304DE3" w:rsidRDefault="001119BA" w:rsidP="00D1608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Le prospettive sono promettenti, ma </w:t>
      </w:r>
      <w:r w:rsidR="00567453">
        <w:rPr>
          <w:rFonts w:ascii="Calibri" w:hAnsi="Calibri" w:cs="Calibri"/>
          <w:kern w:val="0"/>
          <w:sz w:val="22"/>
          <w:szCs w:val="22"/>
          <w:u w:val="single"/>
          <w:lang w:val="it-IT"/>
        </w:rPr>
        <w:t>ci saranno</w:t>
      </w:r>
      <w:r w:rsidRPr="00304DE3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 delle difficoltà lungo il percorso </w:t>
      </w:r>
    </w:p>
    <w:p w14:paraId="6965EF7D" w14:textId="385B3BC0" w:rsidR="00A4198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>
        <w:rPr>
          <w:rFonts w:ascii="Calibri" w:hAnsi="Calibri" w:cs="Calibri"/>
          <w:kern w:val="0"/>
          <w:sz w:val="22"/>
          <w:szCs w:val="22"/>
          <w:lang w:val="it-IT"/>
        </w:rPr>
        <w:t>È</w:t>
      </w:r>
      <w:r w:rsidR="00A4198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improbabile che il percorso verso la ripresa sia agevole e l’esperienza dei vari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p</w:t>
      </w:r>
      <w:r w:rsidR="00A4198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aesi </w:t>
      </w:r>
      <w:r w:rsidR="001815FF">
        <w:rPr>
          <w:rFonts w:ascii="Calibri" w:hAnsi="Calibri" w:cs="Calibri"/>
          <w:kern w:val="0"/>
          <w:sz w:val="22"/>
          <w:szCs w:val="22"/>
          <w:lang w:val="it-IT"/>
        </w:rPr>
        <w:t>e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mergenti</w:t>
      </w:r>
      <w:r w:rsidR="0056745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sarà differente</w:t>
      </w:r>
      <w:r w:rsidR="00A4198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. </w:t>
      </w:r>
      <w:r w:rsidR="00A4198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Economie come la Cina, l’India e il Brasile, con un forte potenziale di domanda interna, si trovano in una posizione migliore per superare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la difficile situazione</w:t>
      </w:r>
      <w:r w:rsidR="00A4198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.</w:t>
      </w:r>
      <w:r w:rsidR="00A4198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La Cina rimane un enigma e anche se la riapertura del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p</w:t>
      </w:r>
      <w:r w:rsidR="00A4198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aese dopo le prolungate restrizioni ha inizialmente stimolato gli investimenti, i dati più recenti sono stati deludenti. Analogamente, anche la sottoperformance delle azioni cinesi rispetto alle controparti globali da un anno all’altro riflette uno slancio deludente. </w:t>
      </w:r>
    </w:p>
    <w:p w14:paraId="6078CAA8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06A17CB5" w14:textId="0C5441D4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Tuttavia, ci sono segnali positivi per </w:t>
      </w:r>
      <w:r w:rsidR="0077054D">
        <w:rPr>
          <w:rFonts w:ascii="Calibri" w:hAnsi="Calibri" w:cs="Calibri"/>
          <w:kern w:val="0"/>
          <w:sz w:val="22"/>
          <w:szCs w:val="22"/>
          <w:lang w:val="it-IT"/>
        </w:rPr>
        <w:t>il Paese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. Riteniamo che la ripresa non si sia arrestata, ma abbia iniziato a muoversi in una nuova direzione in cui saranno i consumi, piuttosto che gli investimenti, a guidare la crescita.</w:t>
      </w:r>
    </w:p>
    <w:p w14:paraId="1721B6E8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7C39ED9D" w14:textId="77777777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>Un fattore chiave sarà se eventuali ulteriori segnali di rallentamento indurranno i policymaker cinesi a stimolare l’economia in modo più aggressivo per rilanciare il sentiment e i consumi, una mossa che probabilmente sarà accolta con favore dagli investitori.</w:t>
      </w:r>
    </w:p>
    <w:p w14:paraId="45A35742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555D9346" w14:textId="4E7042E9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lastRenderedPageBreak/>
        <w:t xml:space="preserve">Al di fuori della Cina,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l’America Latina si presenta ancora una volta interessante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.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In Brasile, dove i tassi di interesse sono prossimi al 14%, il mercato sembra pronto a reagire a qualsiasi svolta nel ciclo dei tassi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dopo un lungo periodo di rialzi.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Il Messico ha beneficiato di un aumento degli investimenti grazie alla crescente rilocalizzazione della produzione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da parte delle aziende. Alla fine dell’ultimo trimestre, abbiamo registrato la nostra maggiore sovra</w:t>
      </w:r>
      <w:r w:rsidR="007A3899">
        <w:rPr>
          <w:rFonts w:ascii="Calibri" w:hAnsi="Calibri" w:cs="Calibri"/>
          <w:kern w:val="0"/>
          <w:sz w:val="22"/>
          <w:szCs w:val="22"/>
          <w:lang w:val="it-IT"/>
        </w:rPr>
        <w:t>-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ponderazione rispetto all’indice, in quanto siamo in grado di trovare storie di titoli forti e idiosincratici, e riteniamo che queste aziende possano incrementare la crescita degli utili nei prossimi anni.</w:t>
      </w:r>
    </w:p>
    <w:p w14:paraId="47387558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01E7CC36" w14:textId="028347CE" w:rsidR="00A41983" w:rsidRPr="00304DE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Più in generale,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gli ultimi 10 anni </w:t>
      </w:r>
      <w:r w:rsidR="0077054D" w:rsidRPr="009E6D83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sono stati difficili</w:t>
      </w:r>
      <w:r w:rsidR="0077054D" w:rsidRPr="0077054D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per i </w:t>
      </w:r>
      <w:r w:rsidR="0011654E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p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aesi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emergenti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produttori di materie prime come Brasile, Sudafrica, Cile e Indonesia.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Ma se crediamo che l’inflazione delle materie prime sia tornata, è probabile che le loro partite fiscali e correnti migliorino sensibilmente.</w:t>
      </w:r>
    </w:p>
    <w:p w14:paraId="1288600E" w14:textId="4DD78617" w:rsidR="00ED3859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4E8BCC92" w14:textId="77777777" w:rsidR="00ED3859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3491D6AF" w14:textId="145F067C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>Nei primi anni 2000, la Cina è stata la principale fonte di accelerazione della domanda di materie prime. Oggi,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il passaggio alle fonti energetiche pulite e ai veicoli elettrici dovrebbe provocare un’accelerazione più generale della domanda di materie prime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fondamentali. Alla fine dell’ultimo trimestre siamo sovrappesati sia su</w:t>
      </w:r>
      <w:r w:rsidR="0077054D">
        <w:rPr>
          <w:rFonts w:ascii="Calibri" w:hAnsi="Calibri" w:cs="Calibri"/>
          <w:kern w:val="0"/>
          <w:sz w:val="22"/>
          <w:szCs w:val="22"/>
          <w:lang w:val="it-IT"/>
        </w:rPr>
        <w:t>lle materie prime sia</w:t>
      </w:r>
      <w:r w:rsidR="0077054D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sull’energ</w:t>
      </w:r>
      <w:r w:rsidR="0077054D">
        <w:rPr>
          <w:rFonts w:ascii="Calibri" w:hAnsi="Calibri" w:cs="Calibri"/>
          <w:kern w:val="0"/>
          <w:sz w:val="22"/>
          <w:szCs w:val="22"/>
          <w:lang w:val="it-IT"/>
        </w:rPr>
        <w:t>y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rispetto all’indice.  </w:t>
      </w:r>
    </w:p>
    <w:p w14:paraId="550EEB56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59E5D1B7" w14:textId="05DF64F6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Riteniamo inoltre che il contesto inflazionistico possa fungere da catalizzatore per l’aumento della spesa e il risveglio degli spiriti imprenditoriali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. Dalla crisi finanziaria globale del 2008, abbiamo assistito a un sottoinvestimento su larga scala da parte </w:t>
      </w:r>
      <w:r w:rsidR="0077054D">
        <w:rPr>
          <w:rFonts w:ascii="Calibri" w:hAnsi="Calibri" w:cs="Calibri"/>
          <w:kern w:val="0"/>
          <w:sz w:val="22"/>
          <w:szCs w:val="22"/>
          <w:lang w:val="it-IT"/>
        </w:rPr>
        <w:t>di</w:t>
      </w:r>
      <w:r w:rsidR="0077054D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aziende </w:t>
      </w:r>
      <w:r w:rsidR="0077054D">
        <w:rPr>
          <w:rFonts w:ascii="Calibri" w:hAnsi="Calibri" w:cs="Calibri"/>
          <w:kern w:val="0"/>
          <w:sz w:val="22"/>
          <w:szCs w:val="22"/>
          <w:lang w:val="it-IT"/>
        </w:rPr>
        <w:t>e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governi.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 xml:space="preserve">Inoltre, sia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i policymaker sia le aziende si sono concentrati sul risanamento dei bilanci.</w:t>
      </w:r>
    </w:p>
    <w:p w14:paraId="5D60A383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60AB37AA" w14:textId="6630D495" w:rsidR="00A41983" w:rsidRPr="00304DE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Molte industrie hanno investito solo a livelli di “manutenzione”, piuttosto che per migliorare la produttività o l’espansione. Riteniamo che molti settori siano ormai in ritardo negli investimenti, dopo molti anni di abbandono. </w:t>
      </w:r>
    </w:p>
    <w:p w14:paraId="2DAF7F9D" w14:textId="77777777" w:rsidR="00D16084" w:rsidRPr="00304DE3" w:rsidRDefault="00D16084" w:rsidP="00D1608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702D3A4A" w14:textId="77777777" w:rsidR="00A41983" w:rsidRPr="00304DE3" w:rsidRDefault="00A41983" w:rsidP="00D1608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Prepararsi al miglioramento delle condizioni </w:t>
      </w:r>
    </w:p>
    <w:p w14:paraId="42B640BE" w14:textId="7A4277D1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Sebbene negli ultimi anni le azioni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emergenti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abbiano deluso gli investitori, riteniamo che il rapporto rischio/rendimento stia iniziando a diventare positivo.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Oltre ai ben noti driver secolari, gli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emergenti</w:t>
      </w:r>
      <w:r w:rsidR="0056745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stanno nuovamente dimostrando una serie di caratteristiche di crescita non facilmente reperibili nei mercati sviluppati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.</w:t>
      </w:r>
    </w:p>
    <w:p w14:paraId="14B4E901" w14:textId="77777777" w:rsidR="00ED3859" w:rsidRPr="00304DE3" w:rsidRDefault="00ED3859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64DE97F5" w14:textId="64CFBA6C" w:rsidR="00A41983" w:rsidRPr="00304DE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Stiamo trovando sempre più spesso quelle che riteniamo essere società di alta qualità in grado di generare una crescita sostenibile degli utili a un tasso molto più elevato rispetto alla media globale.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Le banche ne sono un esempio significativo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: il rendimento del capitale proprio delle banche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emergenti</w:t>
      </w:r>
      <w:r w:rsidR="00567453"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è stato di gran lunga superiore a quello delle loro controparti dei mercati sviluppati.</w:t>
      </w:r>
    </w:p>
    <w:p w14:paraId="4A78712A" w14:textId="77777777" w:rsidR="00A41983" w:rsidRDefault="00A41983" w:rsidP="00A41983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Nel frattempo,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la leadership cinese nel settore dei veicoli elettronici e dei pannelli solari e l’ascesa dei consumatori cinesi offriranno anch’essi possibilità pluriennali.</w:t>
      </w:r>
    </w:p>
    <w:p w14:paraId="696470EA" w14:textId="77777777" w:rsidR="00ED3859" w:rsidRPr="007A3899" w:rsidRDefault="00ED3859" w:rsidP="00A41983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</w:p>
    <w:p w14:paraId="099A25F6" w14:textId="5317ADB8" w:rsidR="00A41983" w:rsidRPr="00304DE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Nel breve termine, le imminenti prospettive di una crescita più debole o di una recessione scateneranno probabilmente una fuga verso la sicurezza e creeranno un contesto difficile per gli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emergenti,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="00567453">
        <w:rPr>
          <w:rFonts w:ascii="Calibri" w:hAnsi="Calibri" w:cs="Calibri"/>
          <w:kern w:val="0"/>
          <w:sz w:val="22"/>
          <w:szCs w:val="22"/>
          <w:lang w:val="it-IT"/>
        </w:rPr>
        <w:t>t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uttavia,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se il rallentamento sarà più breve e più lieve e i venti contrari cominceranno a dissiparsi e poi a invertirsi, riteniamo che gli </w:t>
      </w:r>
      <w:r w:rsidR="00567453"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emergenti </w:t>
      </w:r>
      <w:r w:rsidRPr="007A3899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siano in una buona posizione per trarre vantaggio</w:t>
      </w:r>
      <w:r w:rsidRPr="00304DE3">
        <w:rPr>
          <w:rFonts w:ascii="Calibri" w:hAnsi="Calibri" w:cs="Calibri"/>
          <w:kern w:val="0"/>
          <w:sz w:val="22"/>
          <w:szCs w:val="22"/>
          <w:lang w:val="it-IT"/>
        </w:rPr>
        <w:t>, come hanno fatto di solito nelle prime fasi della ripresa.</w:t>
      </w:r>
    </w:p>
    <w:p w14:paraId="3C5238FE" w14:textId="4BFA5537" w:rsidR="00D16084" w:rsidRPr="00304DE3" w:rsidRDefault="00A41983" w:rsidP="00A41983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04DE3">
        <w:rPr>
          <w:rFonts w:ascii="Calibri" w:hAnsi="Calibri" w:cs="Calibri"/>
          <w:kern w:val="0"/>
          <w:sz w:val="22"/>
          <w:szCs w:val="22"/>
          <w:lang w:val="it-IT"/>
        </w:rPr>
        <w:t>Sebbene gli investitori debbano diffidare della volatilità nel breve termine, i segnali di ripresa dell’economia globale rappresenteranno un segnale per rivedere le allocazioni.</w:t>
      </w:r>
    </w:p>
    <w:sectPr w:rsidR="00D16084" w:rsidRPr="00304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718"/>
    <w:multiLevelType w:val="hybridMultilevel"/>
    <w:tmpl w:val="BC16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6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CF"/>
    <w:rsid w:val="001119BA"/>
    <w:rsid w:val="0011654E"/>
    <w:rsid w:val="001815FF"/>
    <w:rsid w:val="001F1E0E"/>
    <w:rsid w:val="00212737"/>
    <w:rsid w:val="00304DE3"/>
    <w:rsid w:val="00567453"/>
    <w:rsid w:val="006E49B2"/>
    <w:rsid w:val="0077054D"/>
    <w:rsid w:val="007A3899"/>
    <w:rsid w:val="00A41983"/>
    <w:rsid w:val="00BC4C71"/>
    <w:rsid w:val="00C766CF"/>
    <w:rsid w:val="00CB4D5F"/>
    <w:rsid w:val="00D16084"/>
    <w:rsid w:val="00E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77A3"/>
  <w15:chartTrackingRefBased/>
  <w15:docId w15:val="{90937020-D7A4-B74B-9997-46AA6A8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66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66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66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66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66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66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66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66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66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66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66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66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66C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66C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66C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66C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66C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66C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66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6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66C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66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66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66C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766C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766C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66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66C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766CF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30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Jacopo Bogo</cp:lastModifiedBy>
  <cp:revision>12</cp:revision>
  <dcterms:created xsi:type="dcterms:W3CDTF">2023-09-22T09:24:00Z</dcterms:created>
  <dcterms:modified xsi:type="dcterms:W3CDTF">2023-10-06T07:08:00Z</dcterms:modified>
</cp:coreProperties>
</file>