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F355C6" w:rsidRDefault="00EA20F2" w:rsidP="00F355C6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20580997" w14:textId="01F7AB21" w:rsidR="00A01F38" w:rsidRPr="00F355C6" w:rsidRDefault="002105F8" w:rsidP="00F355C6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F355C6">
        <w:rPr>
          <w:rFonts w:ascii="Arial" w:hAnsi="Arial" w:cs="Arial"/>
          <w:b/>
          <w:sz w:val="36"/>
          <w:szCs w:val="36"/>
        </w:rPr>
        <w:t xml:space="preserve">FLASH </w:t>
      </w:r>
      <w:r w:rsidR="00F355C6" w:rsidRPr="00F355C6">
        <w:rPr>
          <w:rFonts w:ascii="Arial" w:hAnsi="Arial" w:cs="Arial"/>
          <w:b/>
          <w:sz w:val="36"/>
          <w:szCs w:val="36"/>
        </w:rPr>
        <w:t>–</w:t>
      </w:r>
      <w:r w:rsidRPr="00F355C6">
        <w:rPr>
          <w:rFonts w:ascii="Arial" w:hAnsi="Arial" w:cs="Arial"/>
          <w:b/>
          <w:sz w:val="36"/>
          <w:szCs w:val="36"/>
        </w:rPr>
        <w:t xml:space="preserve"> </w:t>
      </w:r>
      <w:r w:rsidR="00377473" w:rsidRPr="00377473">
        <w:rPr>
          <w:rFonts w:ascii="Arial" w:hAnsi="Arial" w:cs="Arial"/>
          <w:b/>
          <w:sz w:val="36"/>
          <w:szCs w:val="36"/>
        </w:rPr>
        <w:t>Attacco di Hamas: tra geopolitica e mercati</w:t>
      </w:r>
    </w:p>
    <w:p w14:paraId="6ECD8EF7" w14:textId="77777777" w:rsidR="00C32DFD" w:rsidRPr="00F355C6" w:rsidRDefault="00C32DFD" w:rsidP="00F355C6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120336BF" w:rsidR="00A76468" w:rsidRPr="00F355C6" w:rsidRDefault="00A76468" w:rsidP="00F355C6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F355C6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Strategist, Intermonte</w:t>
      </w:r>
    </w:p>
    <w:bookmarkEnd w:id="0"/>
    <w:p w14:paraId="613A8689" w14:textId="77777777" w:rsidR="00BC43BE" w:rsidRPr="00F355C6" w:rsidRDefault="00BC43BE" w:rsidP="00F355C6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2C0EB195" w14:textId="77777777" w:rsidR="00F355C6" w:rsidRPr="00F355C6" w:rsidRDefault="00F355C6" w:rsidP="00F355C6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4D014F" w14:textId="5EF09973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895B4D">
        <w:rPr>
          <w:rFonts w:ascii="Arial" w:eastAsia="Times New Roman" w:hAnsi="Arial" w:cs="Arial"/>
          <w:color w:val="000000"/>
        </w:rPr>
        <w:t>L’attacco di Hamas ad Israele nel fine settimana</w:t>
      </w:r>
      <w:r w:rsidRPr="00895B4D">
        <w:rPr>
          <w:rFonts w:ascii="Arial" w:eastAsia="Times New Roman" w:hAnsi="Arial" w:cs="Arial"/>
          <w:color w:val="000000"/>
        </w:rPr>
        <w:t xml:space="preserve"> ha colto di sorpresa non solo gli investitori</w:t>
      </w:r>
      <w:r>
        <w:rPr>
          <w:rFonts w:ascii="Arial" w:eastAsia="Times New Roman" w:hAnsi="Arial" w:cs="Arial"/>
          <w:color w:val="000000"/>
        </w:rPr>
        <w:t>,</w:t>
      </w:r>
      <w:r w:rsidRPr="00895B4D">
        <w:rPr>
          <w:rFonts w:ascii="Arial" w:eastAsia="Times New Roman" w:hAnsi="Arial" w:cs="Arial"/>
          <w:color w:val="000000"/>
        </w:rPr>
        <w:t xml:space="preserve"> ma anche la stessa intelligence israeliana.</w:t>
      </w:r>
    </w:p>
    <w:p w14:paraId="2B380EE3" w14:textId="77777777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0CDCD914" w14:textId="508E2E54" w:rsidR="00BF6506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895B4D">
        <w:rPr>
          <w:rFonts w:ascii="Arial" w:eastAsia="Times New Roman" w:hAnsi="Arial" w:cs="Arial"/>
          <w:color w:val="000000"/>
        </w:rPr>
        <w:t>Proviamo ad inquadrare il tema</w:t>
      </w:r>
      <w:r>
        <w:rPr>
          <w:rFonts w:ascii="Arial" w:eastAsia="Times New Roman" w:hAnsi="Arial" w:cs="Arial"/>
          <w:color w:val="000000"/>
        </w:rPr>
        <w:t>: p</w:t>
      </w:r>
      <w:r w:rsidRPr="00895B4D">
        <w:rPr>
          <w:rFonts w:ascii="Arial" w:eastAsia="Times New Roman" w:hAnsi="Arial" w:cs="Arial"/>
          <w:color w:val="000000"/>
        </w:rPr>
        <w:t xml:space="preserve">er avere un metro di confronto, la striscia di Gaza si estende su un territorio pari a circa </w:t>
      </w:r>
      <w:r w:rsidR="00565098">
        <w:rPr>
          <w:rFonts w:ascii="Arial" w:eastAsia="Times New Roman" w:hAnsi="Arial" w:cs="Arial"/>
          <w:color w:val="000000"/>
        </w:rPr>
        <w:t>due volte quello</w:t>
      </w:r>
      <w:r w:rsidR="00415A17">
        <w:rPr>
          <w:rFonts w:ascii="Arial" w:eastAsia="Times New Roman" w:hAnsi="Arial" w:cs="Arial"/>
          <w:color w:val="000000"/>
        </w:rPr>
        <w:t xml:space="preserve"> del</w:t>
      </w:r>
      <w:r w:rsidRPr="00895B4D">
        <w:rPr>
          <w:rFonts w:ascii="Arial" w:eastAsia="Times New Roman" w:hAnsi="Arial" w:cs="Arial"/>
          <w:color w:val="000000"/>
        </w:rPr>
        <w:t xml:space="preserve"> comune di Milano, </w:t>
      </w:r>
      <w:r w:rsidR="00BF6506">
        <w:rPr>
          <w:rFonts w:ascii="Arial" w:eastAsia="Times New Roman" w:hAnsi="Arial" w:cs="Arial"/>
          <w:color w:val="000000"/>
        </w:rPr>
        <w:t>con quasi 2 milioni di abitanti e un’età media di 18 anni (anche se almeno il 40% degli abitanti ha addirittura meno di 14 anni).</w:t>
      </w:r>
    </w:p>
    <w:p w14:paraId="5414B0F7" w14:textId="77777777" w:rsidR="00BF6506" w:rsidRDefault="00BF6506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54190701" w14:textId="70D41BFD" w:rsidR="00895B4D" w:rsidRPr="00895B4D" w:rsidRDefault="00BF6506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Quindi</w:t>
      </w:r>
      <w:r w:rsidR="00895B4D" w:rsidRPr="00895B4D">
        <w:rPr>
          <w:rFonts w:ascii="Arial" w:eastAsia="Times New Roman" w:hAnsi="Arial" w:cs="Arial"/>
          <w:color w:val="000000"/>
        </w:rPr>
        <w:t xml:space="preserve"> una popolazione </w:t>
      </w:r>
      <w:r w:rsidR="003D2E8F">
        <w:rPr>
          <w:rFonts w:ascii="Arial" w:eastAsia="Times New Roman" w:hAnsi="Arial" w:cs="Arial"/>
          <w:color w:val="000000"/>
        </w:rPr>
        <w:t xml:space="preserve">giovane, </w:t>
      </w:r>
      <w:r w:rsidR="00895B4D" w:rsidRPr="00895B4D">
        <w:rPr>
          <w:rFonts w:ascii="Arial" w:eastAsia="Times New Roman" w:hAnsi="Arial" w:cs="Arial"/>
          <w:color w:val="000000"/>
        </w:rPr>
        <w:t xml:space="preserve">nata </w:t>
      </w:r>
      <w:r w:rsidRPr="00895B4D">
        <w:rPr>
          <w:rFonts w:ascii="Arial" w:eastAsia="Times New Roman" w:hAnsi="Arial" w:cs="Arial"/>
          <w:color w:val="000000"/>
        </w:rPr>
        <w:t xml:space="preserve">in buona parte </w:t>
      </w:r>
      <w:r w:rsidR="00895B4D" w:rsidRPr="00895B4D">
        <w:rPr>
          <w:rFonts w:ascii="Arial" w:eastAsia="Times New Roman" w:hAnsi="Arial" w:cs="Arial"/>
          <w:color w:val="000000"/>
        </w:rPr>
        <w:t>dopo la morte di Arafat (</w:t>
      </w:r>
      <w:r>
        <w:rPr>
          <w:rFonts w:ascii="Arial" w:eastAsia="Times New Roman" w:hAnsi="Arial" w:cs="Arial"/>
          <w:color w:val="000000"/>
        </w:rPr>
        <w:t xml:space="preserve">nel </w:t>
      </w:r>
      <w:r w:rsidR="00895B4D" w:rsidRPr="00895B4D">
        <w:rPr>
          <w:rFonts w:ascii="Arial" w:eastAsia="Times New Roman" w:hAnsi="Arial" w:cs="Arial"/>
          <w:color w:val="000000"/>
        </w:rPr>
        <w:t>2004), storico presidente della ANP (Autorità Nazionale Palestinese)</w:t>
      </w:r>
      <w:r w:rsidR="003D2E8F">
        <w:rPr>
          <w:rFonts w:ascii="Arial" w:eastAsia="Times New Roman" w:hAnsi="Arial" w:cs="Arial"/>
          <w:color w:val="000000"/>
        </w:rPr>
        <w:t xml:space="preserve">, di cui molti oggi tendono a non riconoscere più l’autorità. </w:t>
      </w:r>
      <w:r w:rsidR="00895B4D" w:rsidRPr="00895B4D">
        <w:rPr>
          <w:rFonts w:ascii="Arial" w:eastAsia="Times New Roman" w:hAnsi="Arial" w:cs="Arial"/>
          <w:color w:val="000000"/>
        </w:rPr>
        <w:t xml:space="preserve">L'attacco di Hamas si è svolto utilizzando strumenti non tecnologicamente avanzati ma </w:t>
      </w:r>
      <w:r w:rsidR="003D2E8F">
        <w:rPr>
          <w:rFonts w:ascii="Arial" w:eastAsia="Times New Roman" w:hAnsi="Arial" w:cs="Arial"/>
          <w:color w:val="000000"/>
        </w:rPr>
        <w:t>comunque</w:t>
      </w:r>
      <w:r w:rsidR="00895B4D" w:rsidRPr="00895B4D">
        <w:rPr>
          <w:rFonts w:ascii="Arial" w:eastAsia="Times New Roman" w:hAnsi="Arial" w:cs="Arial"/>
          <w:color w:val="000000"/>
        </w:rPr>
        <w:t xml:space="preserve"> capaci di bucare la rete di intelligence. Molti </w:t>
      </w:r>
      <w:r w:rsidR="000D3E74">
        <w:rPr>
          <w:rFonts w:ascii="Arial" w:eastAsia="Times New Roman" w:hAnsi="Arial" w:cs="Arial"/>
          <w:color w:val="000000"/>
        </w:rPr>
        <w:t>gli</w:t>
      </w:r>
      <w:r w:rsidR="00895B4D" w:rsidRPr="00895B4D">
        <w:rPr>
          <w:rFonts w:ascii="Arial" w:eastAsia="Times New Roman" w:hAnsi="Arial" w:cs="Arial"/>
          <w:color w:val="000000"/>
        </w:rPr>
        <w:t xml:space="preserve"> ostaggi</w:t>
      </w:r>
      <w:r w:rsidR="008E0823">
        <w:rPr>
          <w:rFonts w:ascii="Arial" w:eastAsia="Times New Roman" w:hAnsi="Arial" w:cs="Arial"/>
          <w:color w:val="000000"/>
        </w:rPr>
        <w:t xml:space="preserve"> dei palestinesi</w:t>
      </w:r>
      <w:r w:rsidR="00895B4D" w:rsidRPr="00895B4D">
        <w:rPr>
          <w:rFonts w:ascii="Arial" w:eastAsia="Times New Roman" w:hAnsi="Arial" w:cs="Arial"/>
          <w:color w:val="000000"/>
        </w:rPr>
        <w:t>, il che rende più probabile che il contrattacco israeliano (mossa obbligata vist</w:t>
      </w:r>
      <w:r w:rsidR="008E0823">
        <w:rPr>
          <w:rFonts w:ascii="Arial" w:eastAsia="Times New Roman" w:hAnsi="Arial" w:cs="Arial"/>
          <w:color w:val="000000"/>
        </w:rPr>
        <w:t xml:space="preserve">a l’aggressione </w:t>
      </w:r>
      <w:r w:rsidR="00895B4D" w:rsidRPr="00895B4D">
        <w:rPr>
          <w:rFonts w:ascii="Arial" w:eastAsia="Times New Roman" w:hAnsi="Arial" w:cs="Arial"/>
          <w:color w:val="000000"/>
        </w:rPr>
        <w:t>a sorpresa) possa risolversi in una guerriglia, che in parte potrebbe svolgersi nei lunghi cunicoli che Hamas ha scavato sotto la striscia di Gaza, denominati "metrò".</w:t>
      </w:r>
    </w:p>
    <w:p w14:paraId="5F2E8A14" w14:textId="77777777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57D10857" w14:textId="60547870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895B4D">
        <w:rPr>
          <w:rFonts w:ascii="Arial" w:eastAsia="Times New Roman" w:hAnsi="Arial" w:cs="Arial"/>
          <w:color w:val="000000"/>
        </w:rPr>
        <w:t xml:space="preserve">Questa la breve premessa cui può essere opportuno aggiungere </w:t>
      </w:r>
      <w:r w:rsidR="00376AAE">
        <w:rPr>
          <w:rFonts w:ascii="Arial" w:eastAsia="Times New Roman" w:hAnsi="Arial" w:cs="Arial"/>
          <w:color w:val="000000"/>
        </w:rPr>
        <w:t>ulteriori considerazioni</w:t>
      </w:r>
      <w:r w:rsidRPr="00895B4D">
        <w:rPr>
          <w:rFonts w:ascii="Arial" w:eastAsia="Times New Roman" w:hAnsi="Arial" w:cs="Arial"/>
          <w:color w:val="000000"/>
        </w:rPr>
        <w:t>.</w:t>
      </w:r>
      <w:r w:rsidR="008E0823">
        <w:rPr>
          <w:rFonts w:ascii="Arial" w:eastAsia="Times New Roman" w:hAnsi="Arial" w:cs="Arial"/>
          <w:color w:val="000000"/>
        </w:rPr>
        <w:t xml:space="preserve"> </w:t>
      </w:r>
      <w:r w:rsidRPr="00895B4D">
        <w:rPr>
          <w:rFonts w:ascii="Arial" w:eastAsia="Times New Roman" w:hAnsi="Arial" w:cs="Arial"/>
          <w:color w:val="000000"/>
        </w:rPr>
        <w:t>L'attacco è arrivato mentre erano in corso da diverso tempo colloqui tra Arabia ed Israele con la partecipazione degli USA</w:t>
      </w:r>
      <w:r w:rsidR="008E0823">
        <w:rPr>
          <w:rFonts w:ascii="Arial" w:eastAsia="Times New Roman" w:hAnsi="Arial" w:cs="Arial"/>
          <w:color w:val="000000"/>
        </w:rPr>
        <w:t>, allo</w:t>
      </w:r>
      <w:r w:rsidRPr="00895B4D">
        <w:rPr>
          <w:rFonts w:ascii="Arial" w:eastAsia="Times New Roman" w:hAnsi="Arial" w:cs="Arial"/>
          <w:color w:val="000000"/>
        </w:rPr>
        <w:t xml:space="preserve"> scopo formale di arrivare al riconoscimento di Israele da parte dell'Arabia. In cambio l'Arabia cercava di ottenere maggiore garanzia di copertura delle sue esigenze di sicurezza — in vista anche </w:t>
      </w:r>
      <w:r w:rsidR="008E0823">
        <w:rPr>
          <w:rFonts w:ascii="Arial" w:eastAsia="Times New Roman" w:hAnsi="Arial" w:cs="Arial"/>
          <w:color w:val="000000"/>
        </w:rPr>
        <w:t>del</w:t>
      </w:r>
      <w:r w:rsidRPr="00895B4D">
        <w:rPr>
          <w:rFonts w:ascii="Arial" w:eastAsia="Times New Roman" w:hAnsi="Arial" w:cs="Arial"/>
          <w:color w:val="000000"/>
        </w:rPr>
        <w:t xml:space="preserve"> progressivo alleggerimento del coinvolgimento </w:t>
      </w:r>
      <w:r w:rsidR="00376AAE">
        <w:rPr>
          <w:rFonts w:ascii="Arial" w:eastAsia="Times New Roman" w:hAnsi="Arial" w:cs="Arial"/>
          <w:color w:val="000000"/>
        </w:rPr>
        <w:t xml:space="preserve">USA </w:t>
      </w:r>
      <w:r w:rsidRPr="00895B4D">
        <w:rPr>
          <w:rFonts w:ascii="Arial" w:eastAsia="Times New Roman" w:hAnsi="Arial" w:cs="Arial"/>
          <w:color w:val="000000"/>
        </w:rPr>
        <w:t xml:space="preserve">nella regione — oltre </w:t>
      </w:r>
      <w:r w:rsidR="00376AAE">
        <w:rPr>
          <w:rFonts w:ascii="Arial" w:eastAsia="Times New Roman" w:hAnsi="Arial" w:cs="Arial"/>
          <w:color w:val="000000"/>
        </w:rPr>
        <w:t>all’</w:t>
      </w:r>
      <w:r w:rsidRPr="00895B4D">
        <w:rPr>
          <w:rFonts w:ascii="Arial" w:eastAsia="Times New Roman" w:hAnsi="Arial" w:cs="Arial"/>
          <w:color w:val="000000"/>
        </w:rPr>
        <w:t>accesso alle tecnologie israeliane per lo sviluppo</w:t>
      </w:r>
      <w:r w:rsidR="008E0823">
        <w:rPr>
          <w:rFonts w:ascii="Arial" w:eastAsia="Times New Roman" w:hAnsi="Arial" w:cs="Arial"/>
          <w:color w:val="000000"/>
        </w:rPr>
        <w:t>,</w:t>
      </w:r>
      <w:r w:rsidRPr="00895B4D">
        <w:rPr>
          <w:rFonts w:ascii="Arial" w:eastAsia="Times New Roman" w:hAnsi="Arial" w:cs="Arial"/>
          <w:color w:val="000000"/>
        </w:rPr>
        <w:t xml:space="preserve"> tra l'altro</w:t>
      </w:r>
      <w:r w:rsidR="008E0823">
        <w:rPr>
          <w:rFonts w:ascii="Arial" w:eastAsia="Times New Roman" w:hAnsi="Arial" w:cs="Arial"/>
          <w:color w:val="000000"/>
        </w:rPr>
        <w:t>,</w:t>
      </w:r>
      <w:r w:rsidRPr="00895B4D">
        <w:rPr>
          <w:rFonts w:ascii="Arial" w:eastAsia="Times New Roman" w:hAnsi="Arial" w:cs="Arial"/>
          <w:color w:val="000000"/>
        </w:rPr>
        <w:t xml:space="preserve"> del nucleare ad uso civile. Il tutto </w:t>
      </w:r>
      <w:r w:rsidR="0010681C">
        <w:rPr>
          <w:rFonts w:ascii="Arial" w:eastAsia="Times New Roman" w:hAnsi="Arial" w:cs="Arial"/>
          <w:color w:val="000000"/>
        </w:rPr>
        <w:t xml:space="preserve">nel contesto </w:t>
      </w:r>
      <w:r w:rsidRPr="00895B4D">
        <w:rPr>
          <w:rFonts w:ascii="Arial" w:eastAsia="Times New Roman" w:hAnsi="Arial" w:cs="Arial"/>
          <w:color w:val="000000"/>
        </w:rPr>
        <w:t>del piano arabo "</w:t>
      </w:r>
      <w:r w:rsidR="00ED0620">
        <w:rPr>
          <w:rFonts w:ascii="Arial" w:eastAsia="Times New Roman" w:hAnsi="Arial" w:cs="Arial"/>
          <w:color w:val="000000"/>
        </w:rPr>
        <w:t>V</w:t>
      </w:r>
      <w:r w:rsidRPr="00895B4D">
        <w:rPr>
          <w:rFonts w:ascii="Arial" w:eastAsia="Times New Roman" w:hAnsi="Arial" w:cs="Arial"/>
          <w:color w:val="000000"/>
        </w:rPr>
        <w:t>ision 2030", che ha come obiettivo la riduzione della dipendenza dalle entrate provenienti dal petrolio.</w:t>
      </w:r>
    </w:p>
    <w:p w14:paraId="0939E094" w14:textId="77777777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0C69419F" w14:textId="5620E8F1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895B4D">
        <w:rPr>
          <w:rFonts w:ascii="Arial" w:eastAsia="Times New Roman" w:hAnsi="Arial" w:cs="Arial"/>
          <w:color w:val="000000"/>
        </w:rPr>
        <w:t>Alla luce di queste premesse,</w:t>
      </w:r>
      <w:r w:rsidR="00ED0620">
        <w:rPr>
          <w:rFonts w:ascii="Arial" w:eastAsia="Times New Roman" w:hAnsi="Arial" w:cs="Arial"/>
          <w:color w:val="000000"/>
        </w:rPr>
        <w:t xml:space="preserve"> qualche</w:t>
      </w:r>
      <w:r w:rsidRPr="00895B4D">
        <w:rPr>
          <w:rFonts w:ascii="Arial" w:eastAsia="Times New Roman" w:hAnsi="Arial" w:cs="Arial"/>
          <w:color w:val="000000"/>
        </w:rPr>
        <w:t xml:space="preserve"> prim</w:t>
      </w:r>
      <w:r w:rsidR="00ED0620">
        <w:rPr>
          <w:rFonts w:ascii="Arial" w:eastAsia="Times New Roman" w:hAnsi="Arial" w:cs="Arial"/>
          <w:color w:val="000000"/>
        </w:rPr>
        <w:t>a</w:t>
      </w:r>
      <w:r w:rsidRPr="00895B4D">
        <w:rPr>
          <w:rFonts w:ascii="Arial" w:eastAsia="Times New Roman" w:hAnsi="Arial" w:cs="Arial"/>
          <w:color w:val="000000"/>
        </w:rPr>
        <w:t xml:space="preserve"> considerazion</w:t>
      </w:r>
      <w:r w:rsidR="00ED0620">
        <w:rPr>
          <w:rFonts w:ascii="Arial" w:eastAsia="Times New Roman" w:hAnsi="Arial" w:cs="Arial"/>
          <w:color w:val="000000"/>
        </w:rPr>
        <w:t>e</w:t>
      </w:r>
      <w:r w:rsidRPr="00895B4D">
        <w:rPr>
          <w:rFonts w:ascii="Arial" w:eastAsia="Times New Roman" w:hAnsi="Arial" w:cs="Arial"/>
          <w:color w:val="000000"/>
        </w:rPr>
        <w:t>:</w:t>
      </w:r>
    </w:p>
    <w:p w14:paraId="3D07188D" w14:textId="77777777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54459E02" w14:textId="1DE7864D" w:rsidR="00895B4D" w:rsidRPr="00ED0620" w:rsidRDefault="00895B4D" w:rsidP="00ED0620">
      <w:pPr>
        <w:pStyle w:val="Paragrafoelenco"/>
        <w:numPr>
          <w:ilvl w:val="0"/>
          <w:numId w:val="76"/>
        </w:num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ED0620">
        <w:rPr>
          <w:rFonts w:ascii="Arial" w:eastAsia="Times New Roman" w:hAnsi="Arial" w:cs="Arial"/>
          <w:color w:val="000000"/>
        </w:rPr>
        <w:t xml:space="preserve">L'attacco di Hamas mette in discussione il potenziale accordo arabo-israeliano, mettendolo quantomeno </w:t>
      </w:r>
      <w:r w:rsidR="0010681C">
        <w:rPr>
          <w:rFonts w:ascii="Arial" w:eastAsia="Times New Roman" w:hAnsi="Arial" w:cs="Arial"/>
          <w:color w:val="000000"/>
        </w:rPr>
        <w:t xml:space="preserve">per il momento </w:t>
      </w:r>
      <w:r w:rsidRPr="00ED0620">
        <w:rPr>
          <w:rFonts w:ascii="Arial" w:eastAsia="Times New Roman" w:hAnsi="Arial" w:cs="Arial"/>
          <w:color w:val="000000"/>
        </w:rPr>
        <w:t>in sordina.</w:t>
      </w:r>
    </w:p>
    <w:p w14:paraId="0DCB82D4" w14:textId="2AA363CB" w:rsidR="00895B4D" w:rsidRPr="00ED0620" w:rsidRDefault="00895B4D" w:rsidP="00ED0620">
      <w:pPr>
        <w:pStyle w:val="Paragrafoelenco"/>
        <w:numPr>
          <w:ilvl w:val="0"/>
          <w:numId w:val="76"/>
        </w:num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ED0620">
        <w:rPr>
          <w:rFonts w:ascii="Arial" w:eastAsia="Times New Roman" w:hAnsi="Arial" w:cs="Arial"/>
          <w:color w:val="000000"/>
        </w:rPr>
        <w:t>Il contrattacco israeliano</w:t>
      </w:r>
      <w:r w:rsidR="00ED0620">
        <w:rPr>
          <w:rFonts w:ascii="Arial" w:eastAsia="Times New Roman" w:hAnsi="Arial" w:cs="Arial"/>
          <w:color w:val="000000"/>
        </w:rPr>
        <w:t xml:space="preserve"> potrebbe risolversi in una guerriglia</w:t>
      </w:r>
      <w:r w:rsidRPr="00ED0620">
        <w:rPr>
          <w:rFonts w:ascii="Arial" w:eastAsia="Times New Roman" w:hAnsi="Arial" w:cs="Arial"/>
          <w:color w:val="000000"/>
        </w:rPr>
        <w:t xml:space="preserve"> </w:t>
      </w:r>
      <w:r w:rsidR="00ED0620">
        <w:rPr>
          <w:rFonts w:ascii="Arial" w:eastAsia="Times New Roman" w:hAnsi="Arial" w:cs="Arial"/>
          <w:color w:val="000000"/>
        </w:rPr>
        <w:t>piuttosto lunga</w:t>
      </w:r>
      <w:r w:rsidRPr="00ED0620">
        <w:rPr>
          <w:rFonts w:ascii="Arial" w:eastAsia="Times New Roman" w:hAnsi="Arial" w:cs="Arial"/>
          <w:color w:val="000000"/>
        </w:rPr>
        <w:t xml:space="preserve">, con il rischio di </w:t>
      </w:r>
      <w:r w:rsidR="0010681C">
        <w:rPr>
          <w:rFonts w:ascii="Arial" w:eastAsia="Times New Roman" w:hAnsi="Arial" w:cs="Arial"/>
          <w:color w:val="000000"/>
        </w:rPr>
        <w:t xml:space="preserve">un </w:t>
      </w:r>
      <w:r w:rsidRPr="00ED0620">
        <w:rPr>
          <w:rFonts w:ascii="Arial" w:eastAsia="Times New Roman" w:hAnsi="Arial" w:cs="Arial"/>
          <w:color w:val="000000"/>
        </w:rPr>
        <w:t>allargamento del conflitto ad altri attori, prim</w:t>
      </w:r>
      <w:r w:rsidR="00ED0620">
        <w:rPr>
          <w:rFonts w:ascii="Arial" w:eastAsia="Times New Roman" w:hAnsi="Arial" w:cs="Arial"/>
          <w:color w:val="000000"/>
        </w:rPr>
        <w:t>o</w:t>
      </w:r>
      <w:r w:rsidRPr="00ED0620">
        <w:rPr>
          <w:rFonts w:ascii="Arial" w:eastAsia="Times New Roman" w:hAnsi="Arial" w:cs="Arial"/>
          <w:color w:val="000000"/>
        </w:rPr>
        <w:t xml:space="preserve"> fra tutti l'Iran</w:t>
      </w:r>
      <w:r w:rsidR="00ED0620">
        <w:rPr>
          <w:rFonts w:ascii="Arial" w:eastAsia="Times New Roman" w:hAnsi="Arial" w:cs="Arial"/>
          <w:color w:val="000000"/>
        </w:rPr>
        <w:t>.</w:t>
      </w:r>
    </w:p>
    <w:p w14:paraId="5366B929" w14:textId="77777777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1BBA8813" w14:textId="2582D2B5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895B4D">
        <w:rPr>
          <w:rFonts w:ascii="Arial" w:eastAsia="Times New Roman" w:hAnsi="Arial" w:cs="Arial"/>
          <w:color w:val="000000"/>
        </w:rPr>
        <w:t>Queste considerazioni portano ad una prima implicazione sul fronte petrolio</w:t>
      </w:r>
      <w:r w:rsidR="00ED0620">
        <w:rPr>
          <w:rFonts w:ascii="Arial" w:eastAsia="Times New Roman" w:hAnsi="Arial" w:cs="Arial"/>
          <w:color w:val="000000"/>
        </w:rPr>
        <w:t>: n</w:t>
      </w:r>
      <w:r w:rsidRPr="00895B4D">
        <w:rPr>
          <w:rFonts w:ascii="Arial" w:eastAsia="Times New Roman" w:hAnsi="Arial" w:cs="Arial"/>
          <w:color w:val="000000"/>
        </w:rPr>
        <w:t xml:space="preserve">egli ultimi giorni il prezzo del </w:t>
      </w:r>
      <w:r w:rsidR="00ED0620">
        <w:rPr>
          <w:rFonts w:ascii="Arial" w:eastAsia="Times New Roman" w:hAnsi="Arial" w:cs="Arial"/>
          <w:color w:val="000000"/>
        </w:rPr>
        <w:t>barile</w:t>
      </w:r>
      <w:r w:rsidRPr="00895B4D">
        <w:rPr>
          <w:rFonts w:ascii="Arial" w:eastAsia="Times New Roman" w:hAnsi="Arial" w:cs="Arial"/>
          <w:color w:val="000000"/>
        </w:rPr>
        <w:t xml:space="preserve"> è calato in vista </w:t>
      </w:r>
      <w:r w:rsidR="00E401CE">
        <w:rPr>
          <w:rFonts w:ascii="Arial" w:eastAsia="Times New Roman" w:hAnsi="Arial" w:cs="Arial"/>
          <w:color w:val="000000"/>
        </w:rPr>
        <w:t>del</w:t>
      </w:r>
      <w:r w:rsidRPr="00895B4D">
        <w:rPr>
          <w:rFonts w:ascii="Arial" w:eastAsia="Times New Roman" w:hAnsi="Arial" w:cs="Arial"/>
          <w:color w:val="000000"/>
        </w:rPr>
        <w:t xml:space="preserve"> rallentamento della domanda, </w:t>
      </w:r>
      <w:r w:rsidR="00ED0620">
        <w:rPr>
          <w:rFonts w:ascii="Arial" w:eastAsia="Times New Roman" w:hAnsi="Arial" w:cs="Arial"/>
          <w:color w:val="000000"/>
        </w:rPr>
        <w:t>come</w:t>
      </w:r>
      <w:r w:rsidRPr="00895B4D">
        <w:rPr>
          <w:rFonts w:ascii="Arial" w:eastAsia="Times New Roman" w:hAnsi="Arial" w:cs="Arial"/>
          <w:color w:val="000000"/>
        </w:rPr>
        <w:t xml:space="preserve"> conseguenza</w:t>
      </w:r>
      <w:r w:rsidR="00ED0620">
        <w:rPr>
          <w:rFonts w:ascii="Arial" w:eastAsia="Times New Roman" w:hAnsi="Arial" w:cs="Arial"/>
          <w:color w:val="000000"/>
        </w:rPr>
        <w:t>, tra le altre cose,</w:t>
      </w:r>
      <w:r w:rsidRPr="00895B4D">
        <w:rPr>
          <w:rFonts w:ascii="Arial" w:eastAsia="Times New Roman" w:hAnsi="Arial" w:cs="Arial"/>
          <w:color w:val="000000"/>
        </w:rPr>
        <w:t xml:space="preserve"> </w:t>
      </w:r>
      <w:r w:rsidR="00ED0620">
        <w:rPr>
          <w:rFonts w:ascii="Arial" w:eastAsia="Times New Roman" w:hAnsi="Arial" w:cs="Arial"/>
          <w:color w:val="000000"/>
        </w:rPr>
        <w:t>della contrazione</w:t>
      </w:r>
      <w:r w:rsidRPr="00895B4D">
        <w:rPr>
          <w:rFonts w:ascii="Arial" w:eastAsia="Times New Roman" w:hAnsi="Arial" w:cs="Arial"/>
          <w:color w:val="000000"/>
        </w:rPr>
        <w:t xml:space="preserve"> della domanda USA per il venir meno da ottobre di diversi fattori di supporto (ritorno del pagamento degli student loan, fine dei risparmi in eccesso, impatto</w:t>
      </w:r>
      <w:r w:rsidR="00ED0620">
        <w:rPr>
          <w:rFonts w:ascii="Arial" w:eastAsia="Times New Roman" w:hAnsi="Arial" w:cs="Arial"/>
          <w:color w:val="000000"/>
        </w:rPr>
        <w:t xml:space="preserve"> del</w:t>
      </w:r>
      <w:r w:rsidRPr="00895B4D">
        <w:rPr>
          <w:rFonts w:ascii="Arial" w:eastAsia="Times New Roman" w:hAnsi="Arial" w:cs="Arial"/>
          <w:color w:val="000000"/>
        </w:rPr>
        <w:t xml:space="preserve"> rialzo</w:t>
      </w:r>
      <w:r w:rsidR="00ED0620">
        <w:rPr>
          <w:rFonts w:ascii="Arial" w:eastAsia="Times New Roman" w:hAnsi="Arial" w:cs="Arial"/>
          <w:color w:val="000000"/>
        </w:rPr>
        <w:t xml:space="preserve"> di</w:t>
      </w:r>
      <w:r w:rsidRPr="00895B4D">
        <w:rPr>
          <w:rFonts w:ascii="Arial" w:eastAsia="Times New Roman" w:hAnsi="Arial" w:cs="Arial"/>
          <w:color w:val="000000"/>
        </w:rPr>
        <w:t xml:space="preserve"> tassi ed energia). </w:t>
      </w:r>
    </w:p>
    <w:p w14:paraId="5E030A1B" w14:textId="518D965B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895B4D">
        <w:rPr>
          <w:rFonts w:ascii="Arial" w:eastAsia="Times New Roman" w:hAnsi="Arial" w:cs="Arial"/>
          <w:color w:val="000000"/>
        </w:rPr>
        <w:t>I fattori di tensione geopolitica</w:t>
      </w:r>
      <w:r w:rsidR="00ED0620">
        <w:rPr>
          <w:rFonts w:ascii="Arial" w:eastAsia="Times New Roman" w:hAnsi="Arial" w:cs="Arial"/>
          <w:color w:val="000000"/>
        </w:rPr>
        <w:t xml:space="preserve">, come, ad esempio, la possibilità che l’Arabia decida di estendere </w:t>
      </w:r>
      <w:r w:rsidRPr="00895B4D">
        <w:rPr>
          <w:rFonts w:ascii="Arial" w:eastAsia="Times New Roman" w:hAnsi="Arial" w:cs="Arial"/>
          <w:color w:val="000000"/>
        </w:rPr>
        <w:t xml:space="preserve">a parte del 2024 i tagli alla produzione </w:t>
      </w:r>
      <w:r w:rsidR="00ED0620">
        <w:rPr>
          <w:rFonts w:ascii="Arial" w:eastAsia="Times New Roman" w:hAnsi="Arial" w:cs="Arial"/>
          <w:color w:val="000000"/>
        </w:rPr>
        <w:t xml:space="preserve">ad oggi </w:t>
      </w:r>
      <w:r w:rsidRPr="00895B4D">
        <w:rPr>
          <w:rFonts w:ascii="Arial" w:eastAsia="Times New Roman" w:hAnsi="Arial" w:cs="Arial"/>
          <w:color w:val="000000"/>
        </w:rPr>
        <w:t>decisi fino a fine 2023</w:t>
      </w:r>
      <w:r w:rsidR="00ED0620">
        <w:rPr>
          <w:rFonts w:ascii="Arial" w:eastAsia="Times New Roman" w:hAnsi="Arial" w:cs="Arial"/>
          <w:color w:val="000000"/>
        </w:rPr>
        <w:t>,</w:t>
      </w:r>
      <w:r w:rsidRPr="00895B4D">
        <w:rPr>
          <w:rFonts w:ascii="Arial" w:eastAsia="Times New Roman" w:hAnsi="Arial" w:cs="Arial"/>
          <w:color w:val="000000"/>
        </w:rPr>
        <w:t xml:space="preserve"> potrebbero ora aggiungersi ad altri fattori, la cui portata potrebbe quantomeno rallentare il calo del petrolio e/o porvi un supporto importante in termini di prezzo. Tra i fattori non geopolitici </w:t>
      </w:r>
      <w:r w:rsidR="00ED0620" w:rsidRPr="00895B4D">
        <w:rPr>
          <w:rFonts w:ascii="Arial" w:eastAsia="Times New Roman" w:hAnsi="Arial" w:cs="Arial"/>
          <w:color w:val="000000"/>
        </w:rPr>
        <w:t>figura, ad esempio,</w:t>
      </w:r>
      <w:r w:rsidRPr="00895B4D">
        <w:rPr>
          <w:rFonts w:ascii="Arial" w:eastAsia="Times New Roman" w:hAnsi="Arial" w:cs="Arial"/>
          <w:color w:val="000000"/>
        </w:rPr>
        <w:t xml:space="preserve"> la necessità Usa di ripristinare le scorte strategiche, arrivate al minimo dagli anni '80.</w:t>
      </w:r>
    </w:p>
    <w:p w14:paraId="35A79968" w14:textId="77777777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79B4FE53" w14:textId="48DD6CB8" w:rsidR="00895B4D" w:rsidRPr="00895B4D" w:rsidRDefault="00ED0620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  <w:r w:rsidRPr="00895B4D">
        <w:rPr>
          <w:rFonts w:ascii="Arial" w:eastAsia="Times New Roman" w:hAnsi="Arial" w:cs="Arial"/>
          <w:color w:val="000000"/>
        </w:rPr>
        <w:t>Un altro impatto indiretto</w:t>
      </w:r>
      <w:r>
        <w:rPr>
          <w:rFonts w:ascii="Arial" w:eastAsia="Times New Roman" w:hAnsi="Arial" w:cs="Arial"/>
          <w:color w:val="000000"/>
        </w:rPr>
        <w:t xml:space="preserve"> </w:t>
      </w:r>
      <w:r w:rsidRPr="00895B4D">
        <w:rPr>
          <w:rFonts w:ascii="Arial" w:eastAsia="Times New Roman" w:hAnsi="Arial" w:cs="Arial"/>
          <w:color w:val="000000"/>
        </w:rPr>
        <w:t xml:space="preserve">dell’acuirsi delle tensioni geopolitiche </w:t>
      </w:r>
      <w:r w:rsidR="00895B4D" w:rsidRPr="00895B4D">
        <w:rPr>
          <w:rFonts w:ascii="Arial" w:eastAsia="Times New Roman" w:hAnsi="Arial" w:cs="Arial"/>
          <w:color w:val="000000"/>
        </w:rPr>
        <w:t xml:space="preserve">potrebbe </w:t>
      </w:r>
      <w:r>
        <w:rPr>
          <w:rFonts w:ascii="Arial" w:eastAsia="Times New Roman" w:hAnsi="Arial" w:cs="Arial"/>
          <w:color w:val="000000"/>
        </w:rPr>
        <w:t>essere</w:t>
      </w:r>
      <w:r w:rsidR="00895B4D" w:rsidRPr="00895B4D">
        <w:rPr>
          <w:rFonts w:ascii="Arial" w:eastAsia="Times New Roman" w:hAnsi="Arial" w:cs="Arial"/>
          <w:color w:val="000000"/>
        </w:rPr>
        <w:t xml:space="preserve"> </w:t>
      </w:r>
      <w:r w:rsidR="00895B4D" w:rsidRPr="00E401CE">
        <w:rPr>
          <w:rFonts w:ascii="Arial" w:eastAsia="Times New Roman" w:hAnsi="Arial" w:cs="Arial"/>
          <w:color w:val="000000"/>
        </w:rPr>
        <w:t xml:space="preserve">un'accelerazione del </w:t>
      </w:r>
      <w:r w:rsidR="00023BCC" w:rsidRPr="00E401CE">
        <w:rPr>
          <w:rFonts w:ascii="Arial" w:eastAsia="Times New Roman" w:hAnsi="Arial" w:cs="Arial"/>
          <w:color w:val="000000"/>
        </w:rPr>
        <w:t>raffreddamento</w:t>
      </w:r>
      <w:r w:rsidR="00895B4D" w:rsidRPr="00E401CE">
        <w:rPr>
          <w:rFonts w:ascii="Arial" w:eastAsia="Times New Roman" w:hAnsi="Arial" w:cs="Arial"/>
          <w:color w:val="000000"/>
        </w:rPr>
        <w:t xml:space="preserve"> macroeconomico</w:t>
      </w:r>
      <w:r w:rsidR="00895B4D" w:rsidRPr="00895B4D">
        <w:rPr>
          <w:rFonts w:ascii="Arial" w:eastAsia="Times New Roman" w:hAnsi="Arial" w:cs="Arial"/>
          <w:color w:val="000000"/>
        </w:rPr>
        <w:t xml:space="preserve"> prima citato, tale da </w:t>
      </w:r>
      <w:r w:rsidR="00023BCC">
        <w:rPr>
          <w:rFonts w:ascii="Arial" w:eastAsia="Times New Roman" w:hAnsi="Arial" w:cs="Arial"/>
          <w:color w:val="000000"/>
        </w:rPr>
        <w:t>accrescere</w:t>
      </w:r>
      <w:r w:rsidR="00895B4D" w:rsidRPr="00895B4D">
        <w:rPr>
          <w:rFonts w:ascii="Arial" w:eastAsia="Times New Roman" w:hAnsi="Arial" w:cs="Arial"/>
          <w:color w:val="000000"/>
        </w:rPr>
        <w:t xml:space="preserve"> anche per gli USA il rischio di una recessione nel 2024.</w:t>
      </w:r>
    </w:p>
    <w:p w14:paraId="2F8DA44C" w14:textId="77777777" w:rsidR="00895B4D" w:rsidRPr="00895B4D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eastAsia="Times New Roman" w:hAnsi="Arial" w:cs="Arial"/>
          <w:color w:val="000000"/>
        </w:rPr>
      </w:pPr>
    </w:p>
    <w:p w14:paraId="3E1820E2" w14:textId="3DDB8EE1" w:rsidR="00C32DFD" w:rsidRPr="00F355C6" w:rsidRDefault="00895B4D" w:rsidP="00895B4D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895B4D">
        <w:rPr>
          <w:rFonts w:ascii="Arial" w:eastAsia="Times New Roman" w:hAnsi="Arial" w:cs="Arial"/>
          <w:color w:val="000000"/>
        </w:rPr>
        <w:t>In sintesi</w:t>
      </w:r>
      <w:r w:rsidR="00132427">
        <w:rPr>
          <w:rFonts w:ascii="Arial" w:eastAsia="Times New Roman" w:hAnsi="Arial" w:cs="Arial"/>
          <w:color w:val="000000"/>
        </w:rPr>
        <w:t>,</w:t>
      </w:r>
      <w:r w:rsidRPr="00895B4D">
        <w:rPr>
          <w:rFonts w:ascii="Arial" w:eastAsia="Times New Roman" w:hAnsi="Arial" w:cs="Arial"/>
          <w:color w:val="000000"/>
        </w:rPr>
        <w:t xml:space="preserve"> l'impatto </w:t>
      </w:r>
      <w:r w:rsidR="00132427">
        <w:rPr>
          <w:rFonts w:ascii="Arial" w:eastAsia="Times New Roman" w:hAnsi="Arial" w:cs="Arial"/>
          <w:color w:val="000000"/>
        </w:rPr>
        <w:t>della crisi</w:t>
      </w:r>
      <w:r w:rsidRPr="00895B4D">
        <w:rPr>
          <w:rFonts w:ascii="Arial" w:eastAsia="Times New Roman" w:hAnsi="Arial" w:cs="Arial"/>
          <w:color w:val="000000"/>
        </w:rPr>
        <w:t xml:space="preserve"> in Israele potrebbe </w:t>
      </w:r>
      <w:r w:rsidR="00132427">
        <w:rPr>
          <w:rFonts w:ascii="Arial" w:eastAsia="Times New Roman" w:hAnsi="Arial" w:cs="Arial"/>
          <w:color w:val="000000"/>
        </w:rPr>
        <w:t>riguardare</w:t>
      </w:r>
      <w:r w:rsidRPr="00895B4D">
        <w:rPr>
          <w:rFonts w:ascii="Arial" w:eastAsia="Times New Roman" w:hAnsi="Arial" w:cs="Arial"/>
          <w:color w:val="000000"/>
        </w:rPr>
        <w:t xml:space="preserve"> soprattutto due fronti: la durata della controffensiva e il particolare momento macro </w:t>
      </w:r>
      <w:r w:rsidR="00132427">
        <w:rPr>
          <w:rFonts w:ascii="Arial" w:eastAsia="Times New Roman" w:hAnsi="Arial" w:cs="Arial"/>
          <w:color w:val="000000"/>
        </w:rPr>
        <w:t>su</w:t>
      </w:r>
      <w:r w:rsidRPr="00895B4D">
        <w:rPr>
          <w:rFonts w:ascii="Arial" w:eastAsia="Times New Roman" w:hAnsi="Arial" w:cs="Arial"/>
          <w:color w:val="000000"/>
        </w:rPr>
        <w:t xml:space="preserve"> cui si innesta. Al momento</w:t>
      </w:r>
      <w:r w:rsidR="00132427">
        <w:rPr>
          <w:rFonts w:ascii="Arial" w:eastAsia="Times New Roman" w:hAnsi="Arial" w:cs="Arial"/>
          <w:color w:val="000000"/>
        </w:rPr>
        <w:t>,</w:t>
      </w:r>
      <w:r w:rsidRPr="00895B4D">
        <w:rPr>
          <w:rFonts w:ascii="Arial" w:eastAsia="Times New Roman" w:hAnsi="Arial" w:cs="Arial"/>
          <w:color w:val="000000"/>
        </w:rPr>
        <w:t xml:space="preserve"> </w:t>
      </w:r>
      <w:r w:rsidR="00132427">
        <w:rPr>
          <w:rFonts w:ascii="Arial" w:eastAsia="Times New Roman" w:hAnsi="Arial" w:cs="Arial"/>
          <w:color w:val="000000"/>
        </w:rPr>
        <w:t>quindi,</w:t>
      </w:r>
      <w:r w:rsidRPr="00895B4D">
        <w:rPr>
          <w:rFonts w:ascii="Arial" w:eastAsia="Times New Roman" w:hAnsi="Arial" w:cs="Arial"/>
          <w:color w:val="000000"/>
        </w:rPr>
        <w:t xml:space="preserve"> </w:t>
      </w:r>
      <w:r w:rsidR="00132427">
        <w:rPr>
          <w:rFonts w:ascii="Arial" w:eastAsia="Times New Roman" w:hAnsi="Arial" w:cs="Arial"/>
          <w:color w:val="000000"/>
        </w:rPr>
        <w:t>si prefigura</w:t>
      </w:r>
      <w:r w:rsidRPr="00895B4D">
        <w:rPr>
          <w:rFonts w:ascii="Arial" w:eastAsia="Times New Roman" w:hAnsi="Arial" w:cs="Arial"/>
          <w:color w:val="000000"/>
        </w:rPr>
        <w:t xml:space="preserve"> </w:t>
      </w:r>
      <w:r w:rsidRPr="00132427">
        <w:rPr>
          <w:rFonts w:ascii="Arial" w:eastAsia="Times New Roman" w:hAnsi="Arial" w:cs="Arial"/>
          <w:b/>
          <w:bCs/>
          <w:color w:val="000000"/>
        </w:rPr>
        <w:lastRenderedPageBreak/>
        <w:t xml:space="preserve">un'accelerazione </w:t>
      </w:r>
      <w:r w:rsidR="00132427" w:rsidRPr="00132427">
        <w:rPr>
          <w:rFonts w:ascii="Arial" w:eastAsia="Times New Roman" w:hAnsi="Arial" w:cs="Arial"/>
          <w:b/>
          <w:bCs/>
          <w:color w:val="000000"/>
        </w:rPr>
        <w:t>del</w:t>
      </w:r>
      <w:r w:rsidRPr="00132427">
        <w:rPr>
          <w:rFonts w:ascii="Arial" w:eastAsia="Times New Roman" w:hAnsi="Arial" w:cs="Arial"/>
          <w:b/>
          <w:bCs/>
          <w:color w:val="000000"/>
        </w:rPr>
        <w:t xml:space="preserve"> rallentamento macro già evidente in are</w:t>
      </w:r>
      <w:r w:rsidR="00132427" w:rsidRPr="00132427">
        <w:rPr>
          <w:rFonts w:ascii="Arial" w:eastAsia="Times New Roman" w:hAnsi="Arial" w:cs="Arial"/>
          <w:b/>
          <w:bCs/>
          <w:color w:val="000000"/>
        </w:rPr>
        <w:t>a</w:t>
      </w:r>
      <w:r w:rsidRPr="00132427">
        <w:rPr>
          <w:rFonts w:ascii="Arial" w:eastAsia="Times New Roman" w:hAnsi="Arial" w:cs="Arial"/>
          <w:b/>
          <w:bCs/>
          <w:color w:val="000000"/>
        </w:rPr>
        <w:t xml:space="preserve"> Euro</w:t>
      </w:r>
      <w:r w:rsidRPr="00895B4D">
        <w:rPr>
          <w:rFonts w:ascii="Arial" w:eastAsia="Times New Roman" w:hAnsi="Arial" w:cs="Arial"/>
          <w:color w:val="000000"/>
        </w:rPr>
        <w:t xml:space="preserve">, che dovrebbe progressivamente coinvolgere anche gli Usa </w:t>
      </w:r>
      <w:r w:rsidR="00132427">
        <w:rPr>
          <w:rFonts w:ascii="Arial" w:eastAsia="Times New Roman" w:hAnsi="Arial" w:cs="Arial"/>
          <w:color w:val="000000"/>
        </w:rPr>
        <w:t xml:space="preserve">a partire </w:t>
      </w:r>
      <w:r w:rsidRPr="00895B4D">
        <w:rPr>
          <w:rFonts w:ascii="Arial" w:eastAsia="Times New Roman" w:hAnsi="Arial" w:cs="Arial"/>
          <w:color w:val="000000"/>
        </w:rPr>
        <w:t xml:space="preserve">da fine 2023, </w:t>
      </w:r>
      <w:r w:rsidR="00132427">
        <w:rPr>
          <w:rFonts w:ascii="Arial" w:eastAsia="Times New Roman" w:hAnsi="Arial" w:cs="Arial"/>
          <w:color w:val="000000"/>
        </w:rPr>
        <w:t xml:space="preserve">ma </w:t>
      </w:r>
      <w:r w:rsidRPr="00895B4D">
        <w:rPr>
          <w:rFonts w:ascii="Arial" w:eastAsia="Times New Roman" w:hAnsi="Arial" w:cs="Arial"/>
          <w:color w:val="000000"/>
        </w:rPr>
        <w:t xml:space="preserve">che potrebbe portare ad un risvolto positivo: </w:t>
      </w:r>
      <w:r w:rsidR="00132427">
        <w:rPr>
          <w:rFonts w:ascii="Arial" w:eastAsia="Times New Roman" w:hAnsi="Arial" w:cs="Arial"/>
          <w:color w:val="000000"/>
        </w:rPr>
        <w:t>l’aumento del</w:t>
      </w:r>
      <w:r w:rsidRPr="00895B4D">
        <w:rPr>
          <w:rFonts w:ascii="Arial" w:eastAsia="Times New Roman" w:hAnsi="Arial" w:cs="Arial"/>
          <w:color w:val="000000"/>
        </w:rPr>
        <w:t xml:space="preserve">la domanda di bond, in vista </w:t>
      </w:r>
      <w:r w:rsidR="00132427">
        <w:rPr>
          <w:rFonts w:ascii="Arial" w:eastAsia="Times New Roman" w:hAnsi="Arial" w:cs="Arial"/>
          <w:color w:val="000000"/>
        </w:rPr>
        <w:t>dell’arresto e della potenziale</w:t>
      </w:r>
      <w:r w:rsidRPr="00895B4D">
        <w:rPr>
          <w:rFonts w:ascii="Arial" w:eastAsia="Times New Roman" w:hAnsi="Arial" w:cs="Arial"/>
          <w:color w:val="000000"/>
        </w:rPr>
        <w:t xml:space="preserve"> inversione delle politiche </w:t>
      </w:r>
      <w:r w:rsidR="00E401CE">
        <w:rPr>
          <w:rFonts w:ascii="Arial" w:eastAsia="Times New Roman" w:hAnsi="Arial" w:cs="Arial"/>
          <w:color w:val="000000"/>
        </w:rPr>
        <w:t>monetarie</w:t>
      </w:r>
      <w:r w:rsidRPr="00895B4D">
        <w:rPr>
          <w:rFonts w:ascii="Arial" w:eastAsia="Times New Roman" w:hAnsi="Arial" w:cs="Arial"/>
          <w:color w:val="000000"/>
        </w:rPr>
        <w:t>. Si tratta di uno scenario importante</w:t>
      </w:r>
      <w:r w:rsidR="008800A0">
        <w:rPr>
          <w:rFonts w:ascii="Arial" w:eastAsia="Times New Roman" w:hAnsi="Arial" w:cs="Arial"/>
          <w:color w:val="000000"/>
        </w:rPr>
        <w:t xml:space="preserve"> anche</w:t>
      </w:r>
      <w:r w:rsidRPr="00895B4D">
        <w:rPr>
          <w:rFonts w:ascii="Arial" w:eastAsia="Times New Roman" w:hAnsi="Arial" w:cs="Arial"/>
          <w:color w:val="000000"/>
        </w:rPr>
        <w:t xml:space="preserve"> per immaginare un più agevole processo di rifinanziamento da parte dei governi globali e soprattutto del comparto high yield Usa, in vista di scadenze crescenti nei prossimi trimestri</w:t>
      </w:r>
      <w:r w:rsidR="00E401CE">
        <w:rPr>
          <w:rFonts w:ascii="Arial" w:eastAsia="Times New Roman" w:hAnsi="Arial" w:cs="Arial"/>
          <w:color w:val="000000"/>
        </w:rPr>
        <w:t xml:space="preserve"> e </w:t>
      </w:r>
      <w:r w:rsidRPr="00895B4D">
        <w:rPr>
          <w:rFonts w:ascii="Arial" w:eastAsia="Times New Roman" w:hAnsi="Arial" w:cs="Arial"/>
          <w:color w:val="000000"/>
        </w:rPr>
        <w:t>anni.</w:t>
      </w:r>
    </w:p>
    <w:p w14:paraId="5C48FA2F" w14:textId="77777777" w:rsidR="00C32DFD" w:rsidRPr="00F355C6" w:rsidRDefault="00C32DFD" w:rsidP="00F355C6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44F71473" w14:textId="77777777" w:rsidR="00C32DFD" w:rsidRPr="00F355C6" w:rsidRDefault="00C32DFD" w:rsidP="00F355C6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7FCD3608" w14:textId="76B2D089" w:rsidR="00BC43BE" w:rsidRPr="00F355C6" w:rsidRDefault="00BC43BE" w:rsidP="00F355C6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F355C6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F355C6">
        <w:rPr>
          <w:rFonts w:ascii="Arial" w:hAnsi="Arial" w:cs="Arial"/>
          <w:color w:val="000000"/>
          <w:sz w:val="18"/>
          <w:szCs w:val="18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2BA6C97E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F355C6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8" w:history="1">
        <w:r w:rsidRPr="00F355C6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F355C6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F355C6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F355C6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0C768423" w:rsidR="00A76468" w:rsidRPr="00F355C6" w:rsidRDefault="00BC43BE" w:rsidP="00F355C6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355C6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F355C6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9" w:history="1">
        <w:r w:rsidRPr="00F355C6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F355C6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F355C6">
        <w:rPr>
          <w:rFonts w:ascii="Arial" w:hAnsi="Arial" w:cs="Arial"/>
          <w:b/>
          <w:i/>
          <w:sz w:val="18"/>
          <w:szCs w:val="18"/>
        </w:rPr>
        <w:t>+39 340 7500862</w:t>
      </w:r>
    </w:p>
    <w:sectPr w:rsidR="00A76468" w:rsidRPr="00F355C6" w:rsidSect="00BC43BE">
      <w:footerReference w:type="default" r:id="rId10"/>
      <w:headerReference w:type="first" r:id="rId11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8526" w14:textId="77777777" w:rsidR="0026510C" w:rsidRDefault="0026510C" w:rsidP="00652E76">
      <w:pPr>
        <w:spacing w:after="0" w:line="240" w:lineRule="auto"/>
      </w:pPr>
      <w:r>
        <w:separator/>
      </w:r>
    </w:p>
  </w:endnote>
  <w:endnote w:type="continuationSeparator" w:id="0">
    <w:p w14:paraId="32AF150B" w14:textId="77777777" w:rsidR="0026510C" w:rsidRDefault="0026510C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FD16" w14:textId="77777777" w:rsidR="0026510C" w:rsidRDefault="0026510C" w:rsidP="00652E76">
      <w:pPr>
        <w:spacing w:after="0" w:line="240" w:lineRule="auto"/>
      </w:pPr>
      <w:r>
        <w:separator/>
      </w:r>
    </w:p>
  </w:footnote>
  <w:footnote w:type="continuationSeparator" w:id="0">
    <w:p w14:paraId="478B0D4A" w14:textId="77777777" w:rsidR="0026510C" w:rsidRDefault="0026510C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945053"/>
    <w:multiLevelType w:val="hybridMultilevel"/>
    <w:tmpl w:val="A78C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1"/>
  </w:num>
  <w:num w:numId="7" w16cid:durableId="75442133">
    <w:abstractNumId w:val="58"/>
  </w:num>
  <w:num w:numId="8" w16cid:durableId="1502354731">
    <w:abstractNumId w:val="50"/>
  </w:num>
  <w:num w:numId="9" w16cid:durableId="1159007046">
    <w:abstractNumId w:val="71"/>
  </w:num>
  <w:num w:numId="10" w16cid:durableId="1071583816">
    <w:abstractNumId w:val="21"/>
  </w:num>
  <w:num w:numId="11" w16cid:durableId="1773238840">
    <w:abstractNumId w:val="62"/>
  </w:num>
  <w:num w:numId="12" w16cid:durableId="1475416074">
    <w:abstractNumId w:val="36"/>
  </w:num>
  <w:num w:numId="13" w16cid:durableId="1911310375">
    <w:abstractNumId w:val="30"/>
  </w:num>
  <w:num w:numId="14" w16cid:durableId="562133050">
    <w:abstractNumId w:val="41"/>
  </w:num>
  <w:num w:numId="15" w16cid:durableId="911350417">
    <w:abstractNumId w:val="69"/>
  </w:num>
  <w:num w:numId="16" w16cid:durableId="211770006">
    <w:abstractNumId w:val="29"/>
  </w:num>
  <w:num w:numId="17" w16cid:durableId="1675844259">
    <w:abstractNumId w:val="48"/>
  </w:num>
  <w:num w:numId="18" w16cid:durableId="1945729841">
    <w:abstractNumId w:val="27"/>
  </w:num>
  <w:num w:numId="19" w16cid:durableId="1849246288">
    <w:abstractNumId w:val="39"/>
  </w:num>
  <w:num w:numId="20" w16cid:durableId="1664627395">
    <w:abstractNumId w:val="56"/>
  </w:num>
  <w:num w:numId="21" w16cid:durableId="1930195021">
    <w:abstractNumId w:val="28"/>
  </w:num>
  <w:num w:numId="22" w16cid:durableId="1230382549">
    <w:abstractNumId w:val="34"/>
  </w:num>
  <w:num w:numId="23" w16cid:durableId="1602834213">
    <w:abstractNumId w:val="40"/>
  </w:num>
  <w:num w:numId="24" w16cid:durableId="236979604">
    <w:abstractNumId w:val="43"/>
  </w:num>
  <w:num w:numId="25" w16cid:durableId="1730954519">
    <w:abstractNumId w:val="31"/>
  </w:num>
  <w:num w:numId="26" w16cid:durableId="832911448">
    <w:abstractNumId w:val="47"/>
  </w:num>
  <w:num w:numId="27" w16cid:durableId="1350520802">
    <w:abstractNumId w:val="67"/>
  </w:num>
  <w:num w:numId="28" w16cid:durableId="2033845447">
    <w:abstractNumId w:val="9"/>
  </w:num>
  <w:num w:numId="29" w16cid:durableId="294414855">
    <w:abstractNumId w:val="52"/>
  </w:num>
  <w:num w:numId="30" w16cid:durableId="556012639">
    <w:abstractNumId w:val="72"/>
  </w:num>
  <w:num w:numId="31" w16cid:durableId="1600408554">
    <w:abstractNumId w:val="53"/>
  </w:num>
  <w:num w:numId="32" w16cid:durableId="1904828800">
    <w:abstractNumId w:val="7"/>
  </w:num>
  <w:num w:numId="33" w16cid:durableId="348222447">
    <w:abstractNumId w:val="75"/>
  </w:num>
  <w:num w:numId="34" w16cid:durableId="1788115590">
    <w:abstractNumId w:val="33"/>
  </w:num>
  <w:num w:numId="35" w16cid:durableId="354310954">
    <w:abstractNumId w:val="63"/>
  </w:num>
  <w:num w:numId="36" w16cid:durableId="135339046">
    <w:abstractNumId w:val="73"/>
  </w:num>
  <w:num w:numId="37" w16cid:durableId="1060129259">
    <w:abstractNumId w:val="19"/>
  </w:num>
  <w:num w:numId="38" w16cid:durableId="441917527">
    <w:abstractNumId w:val="16"/>
  </w:num>
  <w:num w:numId="39" w16cid:durableId="454492761">
    <w:abstractNumId w:val="55"/>
  </w:num>
  <w:num w:numId="40" w16cid:durableId="1477141141">
    <w:abstractNumId w:val="55"/>
  </w:num>
  <w:num w:numId="41" w16cid:durableId="1286542535">
    <w:abstractNumId w:val="24"/>
  </w:num>
  <w:num w:numId="42" w16cid:durableId="907417395">
    <w:abstractNumId w:val="68"/>
  </w:num>
  <w:num w:numId="43" w16cid:durableId="237640234">
    <w:abstractNumId w:val="65"/>
  </w:num>
  <w:num w:numId="44" w16cid:durableId="780763063">
    <w:abstractNumId w:val="45"/>
  </w:num>
  <w:num w:numId="45" w16cid:durableId="233198967">
    <w:abstractNumId w:val="8"/>
  </w:num>
  <w:num w:numId="46" w16cid:durableId="1793862398">
    <w:abstractNumId w:val="76"/>
  </w:num>
  <w:num w:numId="47" w16cid:durableId="726416046">
    <w:abstractNumId w:val="49"/>
  </w:num>
  <w:num w:numId="48" w16cid:durableId="1861629224">
    <w:abstractNumId w:val="17"/>
  </w:num>
  <w:num w:numId="49" w16cid:durableId="781802156">
    <w:abstractNumId w:val="25"/>
  </w:num>
  <w:num w:numId="50" w16cid:durableId="347610504">
    <w:abstractNumId w:val="26"/>
  </w:num>
  <w:num w:numId="51" w16cid:durableId="1675958090">
    <w:abstractNumId w:val="20"/>
  </w:num>
  <w:num w:numId="52" w16cid:durableId="1726296821">
    <w:abstractNumId w:val="61"/>
  </w:num>
  <w:num w:numId="53" w16cid:durableId="105128339">
    <w:abstractNumId w:val="23"/>
  </w:num>
  <w:num w:numId="54" w16cid:durableId="777528200">
    <w:abstractNumId w:val="37"/>
  </w:num>
  <w:num w:numId="55" w16cid:durableId="1927035647">
    <w:abstractNumId w:val="42"/>
  </w:num>
  <w:num w:numId="56" w16cid:durableId="391542200">
    <w:abstractNumId w:val="32"/>
  </w:num>
  <w:num w:numId="57" w16cid:durableId="1677686559">
    <w:abstractNumId w:val="74"/>
  </w:num>
  <w:num w:numId="58" w16cid:durableId="1813137580">
    <w:abstractNumId w:val="12"/>
  </w:num>
  <w:num w:numId="59" w16cid:durableId="1215392438">
    <w:abstractNumId w:val="54"/>
  </w:num>
  <w:num w:numId="60" w16cid:durableId="1760060308">
    <w:abstractNumId w:val="46"/>
  </w:num>
  <w:num w:numId="61" w16cid:durableId="598103438">
    <w:abstractNumId w:val="10"/>
  </w:num>
  <w:num w:numId="62" w16cid:durableId="1232740122">
    <w:abstractNumId w:val="13"/>
  </w:num>
  <w:num w:numId="63" w16cid:durableId="1887641720">
    <w:abstractNumId w:val="51"/>
  </w:num>
  <w:num w:numId="64" w16cid:durableId="2004428683">
    <w:abstractNumId w:val="60"/>
  </w:num>
  <w:num w:numId="65" w16cid:durableId="979647563">
    <w:abstractNumId w:val="57"/>
  </w:num>
  <w:num w:numId="66" w16cid:durableId="1721977859">
    <w:abstractNumId w:val="59"/>
  </w:num>
  <w:num w:numId="67" w16cid:durableId="987435692">
    <w:abstractNumId w:val="38"/>
  </w:num>
  <w:num w:numId="68" w16cid:durableId="637999260">
    <w:abstractNumId w:val="35"/>
  </w:num>
  <w:num w:numId="69" w16cid:durableId="635987111">
    <w:abstractNumId w:val="70"/>
  </w:num>
  <w:num w:numId="70" w16cid:durableId="209542150">
    <w:abstractNumId w:val="44"/>
  </w:num>
  <w:num w:numId="71" w16cid:durableId="1474106300">
    <w:abstractNumId w:val="64"/>
  </w:num>
  <w:num w:numId="72" w16cid:durableId="1982686861">
    <w:abstractNumId w:val="18"/>
  </w:num>
  <w:num w:numId="73" w16cid:durableId="1491676812">
    <w:abstractNumId w:val="14"/>
  </w:num>
  <w:num w:numId="74" w16cid:durableId="683940922">
    <w:abstractNumId w:val="66"/>
  </w:num>
  <w:num w:numId="75" w16cid:durableId="1818185603">
    <w:abstractNumId w:val="22"/>
  </w:num>
  <w:num w:numId="76" w16cid:durableId="160271505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3BCC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407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3E74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681C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2427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10C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6AAE"/>
    <w:rsid w:val="00377425"/>
    <w:rsid w:val="00377473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2E8F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A17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5098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0A0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5B4D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0823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6506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01CE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0620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agnoni@bc-communicatio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derica.guerri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36</cp:revision>
  <cp:lastPrinted>2023-03-23T08:36:00Z</cp:lastPrinted>
  <dcterms:created xsi:type="dcterms:W3CDTF">2023-09-11T15:45:00Z</dcterms:created>
  <dcterms:modified xsi:type="dcterms:W3CDTF">2023-10-09T15:03:00Z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