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E093" w14:textId="1C77185F" w:rsidR="00883F9B" w:rsidRPr="00996322" w:rsidRDefault="00883F9B" w:rsidP="00996322">
      <w:pPr>
        <w:shd w:val="clear" w:color="auto" w:fill="FFFFFF"/>
        <w:spacing w:line="600" w:lineRule="atLeast"/>
        <w:outlineLvl w:val="1"/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>TCW: Reddito fisso, i rischi della recente caccia al rendimento sul mercato</w:t>
      </w:r>
    </w:p>
    <w:p w14:paraId="1AECDBE6" w14:textId="77777777" w:rsidR="00883F9B" w:rsidRPr="00996322" w:rsidRDefault="00883F9B" w:rsidP="00FB0445">
      <w:pPr>
        <w:shd w:val="clear" w:color="auto" w:fill="FFFFFF"/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</w:pPr>
    </w:p>
    <w:p w14:paraId="4AA3A2E2" w14:textId="2B1D7F38" w:rsidR="00710609" w:rsidRPr="00996322" w:rsidRDefault="00E77D2F" w:rsidP="00FA7C71">
      <w:pPr>
        <w:shd w:val="clear" w:color="auto" w:fill="FFFFFF"/>
        <w:rPr>
          <w:rFonts w:ascii="Calibri" w:eastAsia="Times New Roman" w:hAnsi="Calibri" w:cs="Calibri"/>
          <w:b/>
          <w:bCs/>
          <w:kern w:val="0"/>
          <w:sz w:val="22"/>
          <w:szCs w:val="22"/>
          <w:lang w:val="en-US" w:eastAsia="en-GB"/>
          <w14:ligatures w14:val="none"/>
        </w:rPr>
      </w:pPr>
      <w:r w:rsidRPr="00996322">
        <w:rPr>
          <w:rFonts w:ascii="Calibri" w:eastAsia="Times New Roman" w:hAnsi="Calibri" w:cs="Calibri"/>
          <w:kern w:val="0"/>
          <w:sz w:val="22"/>
          <w:szCs w:val="22"/>
          <w:lang w:val="en-US" w:eastAsia="en-GB"/>
          <w14:ligatures w14:val="none"/>
        </w:rPr>
        <w:t xml:space="preserve">A </w:t>
      </w:r>
      <w:proofErr w:type="spellStart"/>
      <w:r w:rsidRPr="00996322">
        <w:rPr>
          <w:rFonts w:ascii="Calibri" w:eastAsia="Times New Roman" w:hAnsi="Calibri" w:cs="Calibri"/>
          <w:kern w:val="0"/>
          <w:sz w:val="22"/>
          <w:szCs w:val="22"/>
          <w:lang w:val="en-US" w:eastAsia="en-GB"/>
          <w14:ligatures w14:val="none"/>
        </w:rPr>
        <w:t>cura</w:t>
      </w:r>
      <w:proofErr w:type="spellEnd"/>
      <w:r w:rsidRPr="00996322">
        <w:rPr>
          <w:rFonts w:ascii="Calibri" w:eastAsia="Times New Roman" w:hAnsi="Calibri" w:cs="Calibri"/>
          <w:kern w:val="0"/>
          <w:sz w:val="22"/>
          <w:szCs w:val="22"/>
          <w:lang w:val="en-US" w:eastAsia="en-GB"/>
          <w14:ligatures w14:val="none"/>
        </w:rPr>
        <w:t xml:space="preserve"> di </w:t>
      </w:r>
      <w:r w:rsidR="00710609" w:rsidRPr="00996322">
        <w:rPr>
          <w:rFonts w:ascii="Calibri" w:eastAsia="Times New Roman" w:hAnsi="Calibri" w:cs="Calibri"/>
          <w:b/>
          <w:bCs/>
          <w:kern w:val="0"/>
          <w:sz w:val="22"/>
          <w:szCs w:val="22"/>
          <w:lang w:val="en-US" w:eastAsia="en-GB"/>
          <w14:ligatures w14:val="none"/>
        </w:rPr>
        <w:t>Michael R. Carrion, CFA</w:t>
      </w:r>
      <w:r w:rsidR="00FA7C71" w:rsidRPr="00996322">
        <w:rPr>
          <w:rFonts w:ascii="Calibri" w:eastAsia="Times New Roman" w:hAnsi="Calibri" w:cs="Calibri"/>
          <w:b/>
          <w:bCs/>
          <w:kern w:val="0"/>
          <w:sz w:val="22"/>
          <w:szCs w:val="22"/>
          <w:lang w:val="en-US" w:eastAsia="en-GB"/>
          <w14:ligatures w14:val="none"/>
        </w:rPr>
        <w:t>, Managing Director Fixed Income</w:t>
      </w:r>
      <w:r w:rsidR="00710609" w:rsidRPr="00996322">
        <w:rPr>
          <w:rFonts w:ascii="Calibri" w:eastAsia="Times New Roman" w:hAnsi="Calibri" w:cs="Calibri"/>
          <w:b/>
          <w:bCs/>
          <w:kern w:val="0"/>
          <w:sz w:val="22"/>
          <w:szCs w:val="22"/>
          <w:lang w:val="en-US" w:eastAsia="en-GB"/>
          <w14:ligatures w14:val="none"/>
        </w:rPr>
        <w:t> </w:t>
      </w:r>
      <w:r w:rsidR="00FA7C71" w:rsidRPr="00996322">
        <w:rPr>
          <w:rFonts w:ascii="Calibri" w:eastAsia="Times New Roman" w:hAnsi="Calibri" w:cs="Calibri"/>
          <w:b/>
          <w:bCs/>
          <w:kern w:val="0"/>
          <w:sz w:val="22"/>
          <w:szCs w:val="22"/>
          <w:lang w:val="en-US" w:eastAsia="en-GB"/>
          <w14:ligatures w14:val="none"/>
        </w:rPr>
        <w:t xml:space="preserve">e </w:t>
      </w:r>
      <w:r w:rsidR="00710609" w:rsidRPr="00996322">
        <w:rPr>
          <w:rFonts w:ascii="Calibri" w:eastAsia="Times New Roman" w:hAnsi="Calibri" w:cs="Calibri"/>
          <w:b/>
          <w:bCs/>
          <w:kern w:val="0"/>
          <w:sz w:val="22"/>
          <w:szCs w:val="22"/>
          <w:lang w:val="en-US" w:eastAsia="en-GB"/>
          <w14:ligatures w14:val="none"/>
        </w:rPr>
        <w:t>Russel Higgins</w:t>
      </w:r>
      <w:r w:rsidR="00FA7C71" w:rsidRPr="00996322">
        <w:rPr>
          <w:rFonts w:ascii="Calibri" w:eastAsia="Times New Roman" w:hAnsi="Calibri" w:cs="Calibri"/>
          <w:b/>
          <w:bCs/>
          <w:kern w:val="0"/>
          <w:sz w:val="22"/>
          <w:szCs w:val="22"/>
          <w:lang w:val="en-US" w:eastAsia="en-GB"/>
          <w14:ligatures w14:val="none"/>
        </w:rPr>
        <w:t xml:space="preserve">, </w:t>
      </w:r>
      <w:r w:rsidR="00FA7C71" w:rsidRPr="00FA7C71">
        <w:rPr>
          <w:rFonts w:ascii="Calibri" w:eastAsia="Times New Roman" w:hAnsi="Calibri" w:cs="Calibri"/>
          <w:b/>
          <w:bCs/>
          <w:kern w:val="0"/>
          <w:sz w:val="22"/>
          <w:szCs w:val="22"/>
          <w:lang w:val="en-US" w:eastAsia="en-GB"/>
          <w14:ligatures w14:val="none"/>
        </w:rPr>
        <w:t>Senior Credit Analyst</w:t>
      </w:r>
      <w:r w:rsidR="00FA7C71">
        <w:rPr>
          <w:rFonts w:ascii="Calibri" w:eastAsia="Times New Roman" w:hAnsi="Calibri" w:cs="Calibri"/>
          <w:b/>
          <w:bCs/>
          <w:kern w:val="0"/>
          <w:sz w:val="22"/>
          <w:szCs w:val="22"/>
          <w:lang w:val="en-US" w:eastAsia="en-GB"/>
          <w14:ligatures w14:val="none"/>
        </w:rPr>
        <w:t>, TCW</w:t>
      </w:r>
    </w:p>
    <w:p w14:paraId="68C056D2" w14:textId="37F53C18" w:rsidR="00E77D2F" w:rsidRPr="00996322" w:rsidRDefault="00E77D2F" w:rsidP="00996322">
      <w:pPr>
        <w:shd w:val="clear" w:color="auto" w:fill="FFFFFF"/>
        <w:spacing w:line="390" w:lineRule="atLeast"/>
        <w:outlineLvl w:val="2"/>
        <w:rPr>
          <w:rFonts w:ascii="Calibri" w:eastAsia="Times New Roman" w:hAnsi="Calibri" w:cs="Calibri"/>
          <w:color w:val="56595F"/>
          <w:kern w:val="0"/>
          <w:sz w:val="22"/>
          <w:szCs w:val="22"/>
          <w:lang w:val="en-US" w:eastAsia="en-GB"/>
          <w14:ligatures w14:val="none"/>
        </w:rPr>
      </w:pPr>
    </w:p>
    <w:p w14:paraId="63F207FA" w14:textId="2AF420EB" w:rsidR="00883F9B" w:rsidRDefault="00F21B75" w:rsidP="00FB0445">
      <w:pPr>
        <w:shd w:val="clear" w:color="auto" w:fill="FFFFFF"/>
        <w:spacing w:line="390" w:lineRule="atLeast"/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</w:pPr>
      <w:r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Lo scorso settembre </w:t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>s</w:t>
      </w:r>
      <w:r w:rsidR="00311E0B" w:rsidRPr="00996322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>ul</w:t>
      </w:r>
      <w:r w:rsidR="00794C2D" w:rsidRPr="00996322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 xml:space="preserve"> </w:t>
      </w:r>
      <w:r w:rsidR="00E77D2F" w:rsidRPr="00996322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>mercato del credito europeo abbiamo assistito a un altro mese di inarrestabile domanda di rendimento che ha spinto gli spread a restringersi, nonostante un’altra impennata della volatilità</w:t>
      </w:r>
      <w:r w:rsidR="00E77D2F"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.</w:t>
      </w:r>
      <w:r w:rsidR="00FB0445"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 </w:t>
      </w:r>
      <w:r w:rsidR="00311E0B"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M</w:t>
      </w:r>
      <w:r w:rsidR="00302862"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olti </w:t>
      </w:r>
      <w:r w:rsidR="006456AC" w:rsidRPr="00F21B75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investitori che di norma vanno a caccia di </w:t>
      </w:r>
      <w:r w:rsidR="00302862"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rendimenti, </w:t>
      </w:r>
      <w:r w:rsidR="006456AC" w:rsidRPr="00F21B75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come i</w:t>
      </w:r>
      <w:r w:rsidR="00302862"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 fondi pensione, </w:t>
      </w:r>
      <w:r w:rsidR="006456AC" w:rsidRPr="00F21B75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le </w:t>
      </w:r>
      <w:r w:rsidR="00302862"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compagnie assicurative e </w:t>
      </w:r>
      <w:r w:rsidR="006456AC" w:rsidRPr="00F21B75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gli </w:t>
      </w:r>
      <w:r w:rsidR="00302862"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investitori retail, </w:t>
      </w:r>
      <w:r w:rsidR="00BF1ED2" w:rsidRPr="00F21B75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continuano</w:t>
      </w:r>
      <w:r w:rsidR="00302862"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 ad acquistare obbligazioni societarie per </w:t>
      </w:r>
      <w:r w:rsidR="00A606BB" w:rsidRPr="00F21B75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sfruttare</w:t>
      </w:r>
      <w:r w:rsidR="00302862"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 l’ultimo massimo del ciclo dei rendimenti del credito europeo. </w:t>
      </w:r>
      <w:r w:rsidR="00311E0B"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I</w:t>
      </w:r>
      <w:r w:rsidR="00FB0445"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 </w:t>
      </w:r>
      <w:r w:rsidR="00302862"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rendimenti</w:t>
      </w:r>
      <w:r w:rsidR="00BF1ED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, del resto,</w:t>
      </w:r>
      <w:r w:rsidR="00302862"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 sono piuttosto interessanti e </w:t>
      </w:r>
      <w:r w:rsidR="006456AC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comprare</w:t>
      </w:r>
      <w:r w:rsidR="00302862"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 credito sulla base di </w:t>
      </w:r>
      <w:r w:rsidR="00BF1ED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queste condizioni</w:t>
      </w:r>
      <w:r w:rsidR="00302862"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, nonostante gli spread ristretti, potrebbe essere </w:t>
      </w:r>
      <w:r w:rsidR="006456AC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la soluzione</w:t>
      </w:r>
      <w:r w:rsidR="00302862"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 per </w:t>
      </w:r>
      <w:r w:rsidR="00A606BB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molti</w:t>
      </w:r>
      <w:r w:rsidR="00302862"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 </w:t>
      </w:r>
      <w:r w:rsidR="00A606BB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investitori che seguono una strategia da cassettista</w:t>
      </w:r>
      <w:r w:rsidR="00302862"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. Se questi acquisti sono preceduti da una </w:t>
      </w:r>
      <w:r w:rsidR="002A0E63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buona</w:t>
      </w:r>
      <w:r w:rsidR="00302862"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 s</w:t>
      </w:r>
      <w:r w:rsidR="00BF1ED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elezione </w:t>
      </w:r>
      <w:r w:rsidR="00302862"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(per assicurarsi di essere ripagati) e accompagnati da un’esplicita capacità e volontà di assorbire la volatilità degli spread, alcuni investitori </w:t>
      </w:r>
      <w:r w:rsidR="00BF1ED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hanno la possibilità di realizzare </w:t>
      </w:r>
      <w:r w:rsidR="00302862"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i loro obiettivi a lungo termine. </w:t>
      </w:r>
    </w:p>
    <w:p w14:paraId="16E261E1" w14:textId="34016EA7" w:rsidR="00883F9B" w:rsidRPr="00883F9B" w:rsidRDefault="00883F9B" w:rsidP="00FB0445">
      <w:pPr>
        <w:shd w:val="clear" w:color="auto" w:fill="FFFFFF"/>
        <w:spacing w:line="390" w:lineRule="atLeast"/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</w:pPr>
      <w:r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br/>
      </w:r>
      <w:r w:rsidRPr="00996322">
        <w:rPr>
          <w:rFonts w:ascii="Calibri" w:eastAsia="Times New Roman" w:hAnsi="Calibri" w:cs="Calibri"/>
          <w:kern w:val="0"/>
          <w:sz w:val="22"/>
          <w:szCs w:val="22"/>
          <w:u w:val="single"/>
          <w:lang w:val="it-IT" w:eastAsia="en-GB"/>
          <w14:ligatures w14:val="none"/>
        </w:rPr>
        <w:t>I segmenti da evitare</w:t>
      </w:r>
    </w:p>
    <w:p w14:paraId="6B4FBA61" w14:textId="7E0F7782" w:rsidR="00FB0445" w:rsidRPr="00996322" w:rsidRDefault="00302862" w:rsidP="00FB0445">
      <w:pPr>
        <w:shd w:val="clear" w:color="auto" w:fill="FFFFFF"/>
        <w:spacing w:line="390" w:lineRule="atLeast"/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</w:pPr>
      <w:r w:rsidRPr="00996322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>Il pericolo</w:t>
      </w:r>
      <w:r w:rsidR="00BF1ED2" w:rsidRPr="00996322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>, in quest’ambiente,</w:t>
      </w:r>
      <w:r w:rsidRPr="00996322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 xml:space="preserve"> è rappresentato da quei segmenti</w:t>
      </w:r>
      <w:r w:rsidR="00CB215F" w:rsidRPr="00996322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 xml:space="preserve"> in cui sono più evidenti gli effetti distorsivi dell’</w:t>
      </w:r>
      <w:r w:rsidRPr="00996322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 xml:space="preserve">eccesso di domanda di rendimenti </w:t>
      </w:r>
      <w:r w:rsidR="00CB215F" w:rsidRPr="00996322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 xml:space="preserve">che </w:t>
      </w:r>
      <w:r w:rsidR="00BF1ED2" w:rsidRPr="00996322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 xml:space="preserve">sta </w:t>
      </w:r>
      <w:r w:rsidR="00CB215F" w:rsidRPr="00996322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>spinge</w:t>
      </w:r>
      <w:r w:rsidR="00BF1ED2" w:rsidRPr="00996322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>ndo</w:t>
      </w:r>
      <w:r w:rsidR="00CB215F" w:rsidRPr="00996322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 xml:space="preserve"> </w:t>
      </w:r>
      <w:r w:rsidRPr="00996322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>gli spread a restringersi</w:t>
      </w:r>
      <w:r w:rsidR="00BF1ED2" w:rsidRPr="00996322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 xml:space="preserve"> ulteriormente</w:t>
      </w:r>
      <w:r w:rsidR="000A039C" w:rsidRPr="00996322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>.</w:t>
      </w:r>
      <w:r w:rsidR="000A039C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 Questa dinamica</w:t>
      </w:r>
      <w:r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 </w:t>
      </w:r>
      <w:r w:rsidR="00BF1ED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ha </w:t>
      </w:r>
      <w:r w:rsidR="00CB215F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innesca</w:t>
      </w:r>
      <w:r w:rsidR="00BF1ED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to</w:t>
      </w:r>
      <w:r w:rsidR="00CB215F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 un circolo vizioso</w:t>
      </w:r>
      <w:r w:rsidR="002A0E63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:</w:t>
      </w:r>
      <w:r w:rsidR="00CB215F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 l’</w:t>
      </w:r>
      <w:r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aumento di acquisti</w:t>
      </w:r>
      <w:r w:rsidR="00CB215F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, spint</w:t>
      </w:r>
      <w:r w:rsidR="00D631DA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o</w:t>
      </w:r>
      <w:r w:rsidR="00CB215F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 </w:t>
      </w:r>
      <w:r w:rsidR="00D631DA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dal</w:t>
      </w:r>
      <w:r w:rsidR="00CB215F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la</w:t>
      </w:r>
      <w:r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 paura di perdere l</w:t>
      </w:r>
      <w:r w:rsidR="00BF1ED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e </w:t>
      </w:r>
      <w:r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occasion</w:t>
      </w:r>
      <w:r w:rsidR="00BF1ED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i di acquisto sul mercato</w:t>
      </w:r>
      <w:r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, </w:t>
      </w:r>
      <w:r w:rsidR="00CB215F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a sua volta </w:t>
      </w:r>
      <w:r w:rsidR="00BF1ED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sta </w:t>
      </w:r>
      <w:r w:rsidR="00CB215F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porta</w:t>
      </w:r>
      <w:r w:rsidR="00BF1ED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ndo</w:t>
      </w:r>
      <w:r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 gli spread a restringersi ancora di più</w:t>
      </w:r>
      <w:r w:rsidR="00CB215F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,</w:t>
      </w:r>
      <w:r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 fino a livelli </w:t>
      </w:r>
      <w:r w:rsidR="00BF1ED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in cui non si ha una sufficiente compensazione</w:t>
      </w:r>
      <w:r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 per il rischio di default</w:t>
      </w:r>
      <w:r w:rsidR="00FB0445"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 </w:t>
      </w:r>
      <w:r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o di volatilità. </w:t>
      </w:r>
      <w:r w:rsidR="00CB215F" w:rsidRPr="00996322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 xml:space="preserve">Si è </w:t>
      </w:r>
      <w:r w:rsidRPr="00996322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>osservat</w:t>
      </w:r>
      <w:r w:rsidR="00CB215F" w:rsidRPr="00996322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>a</w:t>
      </w:r>
      <w:r w:rsidR="00BF1ED2" w:rsidRPr="00996322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>, tuttavia,</w:t>
      </w:r>
      <w:r w:rsidRPr="00996322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 xml:space="preserve"> una</w:t>
      </w:r>
      <w:r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 </w:t>
      </w:r>
      <w:r w:rsidRPr="00996322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>crescente disponibilità da parte degli investitori a scendere di qualità</w:t>
      </w:r>
      <w:r w:rsidR="00BF1ED2" w:rsidRPr="00996322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>,</w:t>
      </w:r>
      <w:r w:rsidRPr="00996322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 xml:space="preserve"> p</w:t>
      </w:r>
      <w:r w:rsidR="00CB215F" w:rsidRPr="00996322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>ur di ottenere qualche punto di spread in più</w:t>
      </w:r>
      <w:r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.</w:t>
      </w:r>
      <w:r w:rsidR="00FB0445"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 </w:t>
      </w:r>
      <w:r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Con l’avvicinarsi della fine del terzo trimestre, le società hanno iniziato a </w:t>
      </w:r>
      <w:r w:rsidR="00D631DA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sfruttare </w:t>
      </w:r>
      <w:r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in modo proattivo quest</w:t>
      </w:r>
      <w:r w:rsidR="00D631DA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a dinamica di</w:t>
      </w:r>
      <w:r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 </w:t>
      </w:r>
      <w:r w:rsidR="00D631DA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auto-</w:t>
      </w:r>
      <w:r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restringimento dello spread</w:t>
      </w:r>
      <w:r w:rsidR="00D631DA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 alimentato d</w:t>
      </w:r>
      <w:r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a</w:t>
      </w:r>
      <w:r w:rsidR="002A0E63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ll</w:t>
      </w:r>
      <w:r w:rsidR="00D631DA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’</w:t>
      </w:r>
      <w:r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insaziabile domanda di rendimento.</w:t>
      </w:r>
      <w:r w:rsidR="002A0E63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 </w:t>
      </w:r>
      <w:r w:rsidR="002A0E63" w:rsidRPr="00996322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>Le aziende</w:t>
      </w:r>
      <w:r w:rsidRPr="00996322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 xml:space="preserve"> più deboli hanno potuto</w:t>
      </w:r>
      <w:r w:rsidR="00BF1ED2" w:rsidRPr="00996322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 xml:space="preserve"> così</w:t>
      </w:r>
      <w:r w:rsidRPr="00996322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 xml:space="preserve"> emettere nuovo debito attirando gli investitori</w:t>
      </w:r>
      <w:r w:rsidR="00BF1ED2" w:rsidRPr="00996322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 xml:space="preserve"> grazie a</w:t>
      </w:r>
      <w:r w:rsidRPr="00996322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 xml:space="preserve"> una concessione sostanziale di spread</w:t>
      </w:r>
      <w:r w:rsidR="00730103" w:rsidRPr="00996322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 xml:space="preserve"> rispetto ai livelli compressi raggiunti sul mercato secondario</w:t>
      </w:r>
      <w:r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. </w:t>
      </w:r>
    </w:p>
    <w:p w14:paraId="617C0A57" w14:textId="77777777" w:rsidR="00FB0445" w:rsidRPr="00996322" w:rsidRDefault="00FB0445" w:rsidP="00FB0445">
      <w:pPr>
        <w:shd w:val="clear" w:color="auto" w:fill="FFFFFF"/>
        <w:spacing w:line="390" w:lineRule="atLeast"/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</w:pPr>
    </w:p>
    <w:p w14:paraId="6A8627FB" w14:textId="3A92A611" w:rsidR="00056980" w:rsidRPr="00996322" w:rsidRDefault="00056980" w:rsidP="00996322">
      <w:pPr>
        <w:shd w:val="clear" w:color="auto" w:fill="FFFFFF"/>
        <w:spacing w:line="390" w:lineRule="atLeast"/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</w:pPr>
      <w:r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Come potrebbe andare a finire? </w:t>
      </w:r>
      <w:r w:rsidR="00883F9B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N</w:t>
      </w:r>
      <w:r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el dicembre 2022 l’acquisto di obbligazioni non garantite emesse da una certa azienda di servizi di recupero crediti in sofferenza con elevata leva finanziaria rappresentava una ricerca aggressiva di rendimento</w:t>
      </w:r>
      <w:r w:rsidR="00883F9B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,</w:t>
      </w:r>
      <w:r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 dopo un aumento di +435 punti base sui Fed Funds e di </w:t>
      </w:r>
      <w:r w:rsidR="0046225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+</w:t>
      </w:r>
      <w:r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200 punti base del tasso sui depositi della Bce. Questa nuova emissione è stata realizzata in un contesto di mercato spumeggiante, come quello in cui ci siamo trovati alla fine dello scorso anno, quando </w:t>
      </w:r>
      <w:r w:rsidR="00883F9B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era ben più diffusa </w:t>
      </w:r>
      <w:r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la speranza di un atterraggio morbido. Ebbene, l'</w:t>
      </w:r>
      <w:r w:rsidR="00883F9B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entusiasmo</w:t>
      </w:r>
      <w:r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 si è spento a settembre, dopo che la stessa società ha emesso un profit warning. Una combinazione non </w:t>
      </w:r>
      <w:r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lastRenderedPageBreak/>
        <w:t xml:space="preserve">ottimale, che ha portato a un calo del 50% del prezzo delle azioni, a un aumento del 40% degli spread sul debito e a un declassamento del rating di due </w:t>
      </w:r>
      <w:proofErr w:type="spellStart"/>
      <w:r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notch</w:t>
      </w:r>
      <w:proofErr w:type="spellEnd"/>
      <w:r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 a settembre.</w:t>
      </w:r>
    </w:p>
    <w:p w14:paraId="290AA3D3" w14:textId="77777777" w:rsidR="00FB0445" w:rsidRPr="00996322" w:rsidRDefault="00FB0445" w:rsidP="00FB0445">
      <w:pPr>
        <w:shd w:val="clear" w:color="auto" w:fill="FFFFFF"/>
        <w:spacing w:line="390" w:lineRule="atLeast"/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</w:pPr>
    </w:p>
    <w:p w14:paraId="242D27BB" w14:textId="61FFD831" w:rsidR="00462252" w:rsidRDefault="00BF1ED2">
      <w:pPr>
        <w:shd w:val="clear" w:color="auto" w:fill="FFFFFF"/>
        <w:spacing w:line="390" w:lineRule="atLeast"/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</w:pPr>
      <w:r w:rsidRPr="00996322">
        <w:rPr>
          <w:rFonts w:ascii="Calibri" w:eastAsia="Times New Roman" w:hAnsi="Calibri" w:cs="Calibri"/>
          <w:kern w:val="0"/>
          <w:sz w:val="22"/>
          <w:szCs w:val="22"/>
          <w:u w:val="single"/>
          <w:lang w:val="it-IT" w:eastAsia="en-GB"/>
          <w14:ligatures w14:val="none"/>
        </w:rPr>
        <w:t>L’effetto tassi alti più a lungo sui BTP</w:t>
      </w:r>
      <w:r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br/>
      </w:r>
      <w:r w:rsidR="00056980"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L</w:t>
      </w:r>
      <w:r w:rsidR="006F708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’acquisto di rendimenti</w:t>
      </w:r>
      <w:r w:rsidR="00056980"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 ha permesso all’indice Bloomberg Pan European Investment Grade Corporate di chiudere il mese con un aumento di 1 punto base, con una dispersione limitata</w:t>
      </w:r>
      <w:r w:rsidR="0046225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. È </w:t>
      </w:r>
      <w:r w:rsidR="00056980"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stato un altro caso in cui il settore a più alto rendimento</w:t>
      </w:r>
      <w:r w:rsidR="0046225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,</w:t>
      </w:r>
      <w:r w:rsidR="00056980"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 </w:t>
      </w:r>
      <w:r w:rsidR="00462252" w:rsidRPr="002D3850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il settore immobiliare</w:t>
      </w:r>
      <w:r w:rsidR="0046225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,</w:t>
      </w:r>
      <w:r w:rsidR="00056980"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 </w:t>
      </w:r>
      <w:r w:rsidR="0046225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che è </w:t>
      </w:r>
      <w:r w:rsidR="00056980"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più sensibile ai tassi d’interesse del mercato</w:t>
      </w:r>
      <w:r w:rsidR="0046225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>,</w:t>
      </w:r>
      <w:r w:rsidR="00056980"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 ha sovraperformato. Tuttavia, </w:t>
      </w:r>
      <w:r w:rsidR="00056980" w:rsidRPr="00996322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 xml:space="preserve">il mercato ha registrato un notevole deterioramento della tolleranza al rischio verso la fine </w:t>
      </w:r>
      <w:r w:rsidR="00462252" w:rsidRPr="00996322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>di settembre</w:t>
      </w:r>
      <w:r w:rsidR="00056980" w:rsidRPr="00996322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 xml:space="preserve">, quando la volatilità dei tassi d’interesse e dei titoli azionari si è impennata sulla scia di un rinnovato timore per </w:t>
      </w:r>
      <w:r w:rsidRPr="00996322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>tassi</w:t>
      </w:r>
      <w:r w:rsidR="00056980" w:rsidRPr="00996322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 xml:space="preserve"> “(molto) più alt</w:t>
      </w:r>
      <w:r w:rsidRPr="00996322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>i</w:t>
      </w:r>
      <w:r w:rsidR="00056980" w:rsidRPr="00996322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 xml:space="preserve"> e più a lungo”</w:t>
      </w:r>
      <w:r w:rsidR="00056980"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, una lente attraverso la quale probabilmente osserveremo una crescente dispersione del credito man mano che procediamo nel ciclo. </w:t>
      </w:r>
    </w:p>
    <w:p w14:paraId="3BC1C3B5" w14:textId="77777777" w:rsidR="00462252" w:rsidRDefault="00462252">
      <w:pPr>
        <w:shd w:val="clear" w:color="auto" w:fill="FFFFFF"/>
        <w:spacing w:line="390" w:lineRule="atLeast"/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</w:pPr>
    </w:p>
    <w:p w14:paraId="0B837939" w14:textId="2FAA816C" w:rsidR="00E77D2F" w:rsidRPr="00996322" w:rsidRDefault="00462252" w:rsidP="00996322">
      <w:pPr>
        <w:shd w:val="clear" w:color="auto" w:fill="FFFFFF"/>
        <w:spacing w:line="390" w:lineRule="atLeast"/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>I</w:t>
      </w:r>
      <w:r w:rsidR="00056980" w:rsidRPr="00996322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>l rischio italiano è emerso alla fine del mese, diventando l’ultima vittima del timore che i tassi possano rimanere elevati più a lungo di quanto previsto</w:t>
      </w:r>
      <w:r w:rsidR="00056980"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. Il 27 settembre l’Italia ha annunciato l’intenzione di registrare un deficit di bilancio compreso tra il 4,1 e il 4,3% del PIL nel 2024, rispetto al 3,7% previsto in precedenza, e che il deficit del 2023 sarà pari al 5,5% del PIL rispetto a una stima precedente del 4,5%. È ancora presto per capire come questo si ripercuoterà sul rischio di credito italiano, </w:t>
      </w:r>
      <w:r w:rsidR="00056980" w:rsidRPr="00996322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>ma l’allargamento dello spread BTP/Bund a +200 punti base è sembrato un colpo d’avvertimento</w:t>
      </w:r>
      <w:r w:rsidR="00056980" w:rsidRPr="00996322"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  <w:t xml:space="preserve">. </w:t>
      </w:r>
    </w:p>
    <w:sectPr w:rsidR="00E77D2F" w:rsidRPr="00996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09"/>
    <w:rsid w:val="00056980"/>
    <w:rsid w:val="000A039C"/>
    <w:rsid w:val="000B5CD1"/>
    <w:rsid w:val="001F1E0E"/>
    <w:rsid w:val="00212737"/>
    <w:rsid w:val="002A0E63"/>
    <w:rsid w:val="00302862"/>
    <w:rsid w:val="00311E0B"/>
    <w:rsid w:val="00357557"/>
    <w:rsid w:val="00462252"/>
    <w:rsid w:val="006456AC"/>
    <w:rsid w:val="006E49B2"/>
    <w:rsid w:val="006F7082"/>
    <w:rsid w:val="00710609"/>
    <w:rsid w:val="00730103"/>
    <w:rsid w:val="00794C2D"/>
    <w:rsid w:val="00883F9B"/>
    <w:rsid w:val="00996322"/>
    <w:rsid w:val="00A606BB"/>
    <w:rsid w:val="00BC4C71"/>
    <w:rsid w:val="00BF1ED2"/>
    <w:rsid w:val="00CB215F"/>
    <w:rsid w:val="00D631DA"/>
    <w:rsid w:val="00E77D2F"/>
    <w:rsid w:val="00F21B75"/>
    <w:rsid w:val="00FA7C71"/>
    <w:rsid w:val="00FB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419DF"/>
  <w15:chartTrackingRefBased/>
  <w15:docId w15:val="{50A2A8AE-E5D5-C141-9B26-D9B2B54F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106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06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06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106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106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1060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1060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1060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1060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06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06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06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1060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1060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1060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1060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1060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1060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060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106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060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06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1060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060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10609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1060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06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060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10609"/>
    <w:rPr>
      <w:b/>
      <w:bCs/>
      <w:smallCaps/>
      <w:color w:val="0F4761" w:themeColor="accent1" w:themeShade="BF"/>
      <w:spacing w:val="5"/>
    </w:rPr>
  </w:style>
  <w:style w:type="character" w:customStyle="1" w:styleId="insight-detail-subhead">
    <w:name w:val="insight-detail-subhead"/>
    <w:basedOn w:val="Carpredefinitoparagrafo"/>
    <w:rsid w:val="00710609"/>
  </w:style>
  <w:style w:type="character" w:customStyle="1" w:styleId="globalizedate">
    <w:name w:val="globalizedate"/>
    <w:basedOn w:val="Carpredefinitoparagrafo"/>
    <w:rsid w:val="00710609"/>
  </w:style>
  <w:style w:type="character" w:styleId="Collegamentoipertestuale">
    <w:name w:val="Hyperlink"/>
    <w:basedOn w:val="Carpredefinitoparagrafo"/>
    <w:uiPriority w:val="99"/>
    <w:semiHidden/>
    <w:unhideWhenUsed/>
    <w:rsid w:val="00710609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77D2F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E77D2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Revisione">
    <w:name w:val="Revision"/>
    <w:hidden/>
    <w:uiPriority w:val="99"/>
    <w:semiHidden/>
    <w:rsid w:val="00311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270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481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9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5D6C2-1E30-4AF6-98A4-8050370E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Sarah Tuggey</dc:creator>
  <cp:keywords/>
  <dc:description/>
  <cp:lastModifiedBy>Massimo Morici</cp:lastModifiedBy>
  <cp:revision>10</cp:revision>
  <dcterms:created xsi:type="dcterms:W3CDTF">2023-11-07T15:42:00Z</dcterms:created>
  <dcterms:modified xsi:type="dcterms:W3CDTF">2023-11-09T09:10:00Z</dcterms:modified>
</cp:coreProperties>
</file>