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Helvetica Neue" w:cs="Helvetica Neue" w:eastAsia="Helvetica Neue" w:hAnsi="Helvetica Neue"/>
          <w:b w:val="1"/>
          <w:color w:val="02497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24970"/>
          <w:sz w:val="24"/>
          <w:szCs w:val="24"/>
          <w:rtl w:val="0"/>
        </w:rPr>
        <w:t xml:space="preserve">Il gioco si fa arte: mazzi di carte, tarocchi, tavolieri e giochi dell’oca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24970"/>
          <w:sz w:val="24"/>
          <w:szCs w:val="24"/>
          <w:rtl w:val="0"/>
        </w:rPr>
        <w:t xml:space="preserve"> raccontano la vita culturale e artistica a cavallo tra i secoli XVIII e XIX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Helvetica Neue" w:cs="Helvetica Neue" w:eastAsia="Helvetica Neue" w:hAnsi="Helvetica Neue"/>
          <w:b w:val="1"/>
          <w:color w:val="02497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Helvetica Neue" w:cs="Helvetica Neue" w:eastAsia="Helvetica Neue" w:hAnsi="Helvetica Neue"/>
          <w:b w:val="1"/>
          <w:color w:val="02497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24970"/>
          <w:sz w:val="24"/>
          <w:szCs w:val="24"/>
          <w:rtl w:val="0"/>
        </w:rPr>
        <w:t xml:space="preserve">In mostra a Gradara (PU) fino al 26 novembre gli esemplari unici provenienti dalla Civica Raccolta ‘Achille Bertarelli’ di Milano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Helvetica Neue" w:cs="Helvetica Neue" w:eastAsia="Helvetica Neue" w:hAnsi="Helvetica Neue"/>
          <w:b w:val="1"/>
          <w:color w:val="02497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2497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Helvetica Neue" w:cs="Helvetica Neue" w:eastAsia="Helvetica Neue" w:hAnsi="Helvetica Neue"/>
          <w:b w:val="1"/>
          <w:color w:val="02497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rtl w:val="0"/>
        </w:rPr>
        <w:t xml:space="preserve">GRADARA, 9 novembre 2023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simbologia dei tarocchi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 mazzi di carte con la loro infinita varietà di figure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e di rimandi alla mitologia, al mondo animale e alla cultura popolare,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tavolieri e giochi dell'Oca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che diventano lo specchio di usi e consuetudini di un’epoca. 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Il mondo del gioco si fa arte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: forme, colori, stampe ed incisioni si trasformano in uno strumento per raccontare la storia dei nostri antenati, uno spaccato fedele della mentalità e delle abitudini in voga negli ambienti nobiliari e in quelli più popolani,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un compendio delle tendenze artistiche e delle influenze culturali dei secoli XVIII e XIX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La contaminazione tra arte e gioco 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è al centro di una prestigiosa iniziativa che vede  fianco a fianco il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Comune di Gradara (Pesaro-Urbino)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una realtà di primissimo piano come la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Civica Raccolta delle Stampe “Achille Bertarelli”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, parte delle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Collezioni Civiche del Comune di Milano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. Una collaborazione sfociata nella mostra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"L'Arte del gioco - Giochi antichi dalla collezione Crippa della Civica Raccolta delle Stampe Achille Bertarelli di Milano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", che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fino al 26 novembre è ospitata negli spazi del MARV (Museo d'Arte Rubini Vesin) di Gradara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Dalle carte ai tavolieri, giochi dell'oca, di strategia e d’azzardo,  Lotto Reale e biribissi: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oltre cinquanta esemplari provenienti dalla collezione costituita a Milano da Giulianno Crippa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a partire dagli anni Settanta del secolo scorso fino alla sua scomparsa nel 2020; pezzi unici nel loro genere che hanno lasciato il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Castello Sforzesco di Milano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per essere proposti in via esclusiva e straordinaria a Gradara. 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120" w:line="312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La mostra è dunque un invito a scoprire la storia dell’arte, gli stili  artistici e le  tecniche incisorie   degli ultimi tre secoli  da una prospettiva inedita,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per riflettere sul sistema di diffusione delle iconografie, delle creazioni artistiche e delle simbologie  attraverso oggetti di uso “popolare” quali carte e tavolieri da gioco.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120" w:line="312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Un posto d’onore dell’esposizione è occupato dai pregevoli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mazzi di carte, tra cui si annoverano: un esemplare di Tarocco milanese di fine Settecento;  un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Tarocchino Bolognese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edito nel 1810 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dalla stamperia Gumppenberg, nota per le tipiche produzioni  in cui l’influsso neoclassico si coniuga alla matrice popolare;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un mazzo completo di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Minchiate fiorentine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particolare tipologia di carte in cui, alle classiche raffigurazioni degli arcani e dei semi, si aggiungono le iconografie delle virtù e dei segni zodiacali.</w:t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Accanto ai mazzi di carte tradizionali  Crippa ha collezionato anche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carte didattiche - tra cui un antico esemplare di metà Settecento del Gioco Geografico dell’Europa -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 carte divinatorie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, come le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"Trentasei carte sibilline con istruzione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”, stampate nell’agosto 1926. Questo mazzo, realizzato  in quadricromia con tratti marcati e sintetici, linee sinuose e campiture piatte, è un  chiaro richiamo a uno dei più celebri mazzi utilizzati in cartomanzia, il cosiddetto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0"/>
          <w:szCs w:val="20"/>
          <w:rtl w:val="0"/>
        </w:rPr>
        <w:t xml:space="preserve">“Petit Lenormande”,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tradizionalmente attribuito alla “Sibilla dei Salotti”, Mademoiselle Marie Adélaide Lenormande, notissima per le buone frequentazioni e la pratica delle arti divinatorie tra Sette e Ottocento.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Alla mostra gradarese  grande risalto viene dato anche ai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giochi da tabellone: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 giochi di estrazione,  giochi di dadi, giochi di strategia e giochi di percorso tra cui il curioso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“Le Jockey - Le Jeu de Course”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esemplare francese che rientra nella tipologia di giochi a tema sportivo di gran moda fra Ottocento e Novecento. 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120" w:line="312" w:lineRule="auto"/>
        <w:jc w:val="both"/>
        <w:rPr>
          <w:rFonts w:ascii="Helvetica Neue Light" w:cs="Helvetica Neue Light" w:eastAsia="Helvetica Neue Light" w:hAnsi="Helvetica Neue Light"/>
          <w:sz w:val="20"/>
          <w:szCs w:val="20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Due sole espositive sono dedicate esclusivamente ai giochi dell’oca,  alcuni dei quali declinati con finalità educative e persino di propaganda politica come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“L’Oca Garantita”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 realizzata in pieno conflitto mondiale e firmata dal celebre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scrittore e illustratore Giovannino Guareschi</w:t>
      </w:r>
      <w:r w:rsidDel="00000000" w:rsidR="00000000" w:rsidRPr="00000000">
        <w:rPr>
          <w:rFonts w:ascii="Helvetica Neue Light" w:cs="Helvetica Neue Light" w:eastAsia="Helvetica Neue Light" w:hAnsi="Helvetica Neue Light"/>
          <w:sz w:val="20"/>
          <w:szCs w:val="20"/>
          <w:rtl w:val="0"/>
        </w:rPr>
        <w:t xml:space="preserve">. Nelle caselle e decorazioni a margine dei  giochi dell’oca più tradizionali, presenti in mostra in diverse varianti, sono tratteggiati personaggi della tradizione, maschere della commedia dell’arte, contadini e popolani intenti alle loro occupazioni, curiosi musici spesso accompagnati da motti arguti o didascalie umoristiche. In molti di essi si coglie un gusto per il pittoresco, il caricaturale, il grottesco come nel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gioco dell’oca decorato con le figure dei Gobbi tratti dalle incisioni seicentesche di Jacques Callot (1592-1635)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120" w:line="312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La mostra “L’Arte del Gioco” è  promossa dal Comune di Gradara e da Gradara Innova, è realizzata in collaborazione con il Comune di Milano | Cultura e la Civica Raccolta delle Stampe “Achille Bertarelli” al Castello Sforzesco di Milano, con il coordinamento organizzativo di Luca Baroni (direttore della Rete Museale Marche Nord, parte della Rete degli Istituti e luoghi della cultura della Regione Marche) e di Sara Benvenuti per la curatela scientifica.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114300" distT="114300" distL="114300" distR="114300">
            <wp:extent cx="1008697" cy="70374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697" cy="703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L'Arte del gioco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Giochi antichi dalla collezione Crippa</w:t>
        <w:br w:type="textWrapping"/>
        <w:t xml:space="preserve">della Civica Raccolta delle Stampe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“Achille Bertarelli”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di Milano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dal 23 settembre al 26 novembre 2023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MARV - Museo d'Arte Rubini Vesin di Gradara (PU)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Ingresso gratuito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www.marvgradara.com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Gradara Innova 0541964673 - 3311520659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Ufficio Stampa Comune di Gradara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Gradara Innova s.r.l. a socio unico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Tel: +39 0541964673 diretto +39 3475701777 | +39 3427630322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ufficiostampa.gradara@gradarainnova.com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62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09"/>
      <w:gridCol w:w="3209"/>
      <w:gridCol w:w="3210"/>
      <w:tblGridChange w:id="0">
        <w:tblGrid>
          <w:gridCol w:w="3209"/>
          <w:gridCol w:w="3209"/>
          <w:gridCol w:w="32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647879" cy="2520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79" cy="25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994541" cy="2520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2848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541" cy="25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546905" cy="252000"/>
                <wp:effectExtent b="0" l="0" r="0" t="0"/>
                <wp:docPr descr="Gradara, sito ufficiale turismo, eventi e visite guidate al Castello di  Gradara" id="4" name="image3.png"/>
                <a:graphic>
                  <a:graphicData uri="http://schemas.openxmlformats.org/drawingml/2006/picture">
                    <pic:pic>
                      <pic:nvPicPr>
                        <pic:cNvPr descr="Gradara, sito ufficiale turismo, eventi e visite guidate al Castello di  Gradara"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905" cy="25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24"/>
        <w:szCs w:val="24"/>
        <w:rtl w:val="0"/>
      </w:rPr>
      <w:t xml:space="preserve">MARV </w:t>
    </w: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24"/>
        <w:szCs w:val="24"/>
        <w:rtl w:val="0"/>
      </w:rPr>
      <w:t xml:space="preserve">|</w:t>
    </w:r>
    <w:r w:rsidDel="00000000" w:rsidR="00000000" w:rsidRPr="00000000">
      <w:rPr>
        <w:rFonts w:ascii="Helvetica Neue" w:cs="Helvetica Neue" w:eastAsia="Helvetica Neue" w:hAnsi="Helvetica Neue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24"/>
        <w:szCs w:val="24"/>
        <w:rtl w:val="0"/>
      </w:rPr>
      <w:t xml:space="preserve">MUSEO D’ARTE RUBINI VESIN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rFonts w:ascii="Helvetica Neue Light" w:cs="Helvetica Neue Light" w:eastAsia="Helvetica Neue Light" w:hAnsi="Helvetica Neue Light"/>
        <w:color w:val="000000"/>
        <w:sz w:val="18"/>
        <w:szCs w:val="18"/>
      </w:rPr>
    </w:pP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8"/>
        <w:szCs w:val="18"/>
        <w:rtl w:val="0"/>
      </w:rPr>
      <w:t xml:space="preserve">Via Umberto I, 9, 61012 _ Gradara PU</w:t>
    </w:r>
  </w:p>
  <w:p w:rsidR="00000000" w:rsidDel="00000000" w:rsidP="00000000" w:rsidRDefault="00000000" w:rsidRPr="00000000" w14:paraId="00000025">
    <w:pPr>
      <w:spacing w:after="0" w:line="240" w:lineRule="auto"/>
      <w:rPr>
        <w:rFonts w:ascii="Helvetica Neue Light" w:cs="Helvetica Neue Light" w:eastAsia="Helvetica Neue Light" w:hAnsi="Helvetica Neue Light"/>
        <w:sz w:val="18"/>
        <w:szCs w:val="18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8"/>
        <w:szCs w:val="18"/>
        <w:rtl w:val="0"/>
      </w:rPr>
      <w:t xml:space="preserve">0541 964673 _ info@gradarainnova.com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rFonts w:ascii="Helvetica Neue" w:cs="Helvetica Neue" w:eastAsia="Helvetica Neue" w:hAnsi="Helvetica Neue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