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C47E" w14:textId="77777777" w:rsidR="000A6AD8" w:rsidRDefault="006C7456">
      <w:pPr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52863EC2" wp14:editId="0322729F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1EA84" w14:textId="77777777" w:rsidR="000A6AD8" w:rsidRDefault="000A6AD8">
      <w:pPr>
        <w:rPr>
          <w:color w:val="000000"/>
          <w:sz w:val="24"/>
          <w:szCs w:val="24"/>
        </w:rPr>
      </w:pPr>
    </w:p>
    <w:p w14:paraId="38CEB480" w14:textId="77777777" w:rsidR="000A6AD8" w:rsidRDefault="006C745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WWE® BATTE I RECORD DI TUTTI I TEMPI DELLE SURVIVOR SERIES PER VISIBILITÀ, VENDITE E MERCHANDISE</w:t>
      </w:r>
    </w:p>
    <w:p w14:paraId="6CEF7793" w14:textId="77777777" w:rsidR="000A6AD8" w:rsidRDefault="000A6AD8">
      <w:pPr>
        <w:jc w:val="center"/>
      </w:pPr>
    </w:p>
    <w:p w14:paraId="39CB43E1" w14:textId="77777777" w:rsidR="000A6AD8" w:rsidRDefault="000A6A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5F7E3C8" w14:textId="77777777" w:rsidR="000A6AD8" w:rsidRDefault="000A6AD8">
      <w:pPr>
        <w:jc w:val="center"/>
        <w:rPr>
          <w:rFonts w:ascii="Arial" w:eastAsia="Arial" w:hAnsi="Arial" w:cs="Arial"/>
        </w:rPr>
      </w:pPr>
    </w:p>
    <w:p w14:paraId="51EA4FB7" w14:textId="313D6F8F" w:rsidR="000A6AD8" w:rsidRDefault="006C7456" w:rsidP="0060649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28 novembre 2023</w:t>
      </w:r>
      <w:r>
        <w:rPr>
          <w:rFonts w:ascii="Arial" w:eastAsia="Arial" w:hAnsi="Arial" w:cs="Arial"/>
        </w:rPr>
        <w:t xml:space="preserve"> – WWE®, parte di TKO Group Holdings (NYSE: TKO), ha annunciato oggi che Survivor Series, che ha avuto luogo all’Allstate Arena di Chicago, ha stabilito nuovi record per quanto riguarda il più alto numero di spettatori, il più grande incasso e le migliori vendite di merchandising nei 37 anni di storia dell'evento.</w:t>
      </w:r>
    </w:p>
    <w:p w14:paraId="2500F414" w14:textId="77777777" w:rsidR="000A6AD8" w:rsidRDefault="000A6AD8" w:rsidP="00606494">
      <w:pPr>
        <w:jc w:val="both"/>
      </w:pPr>
    </w:p>
    <w:p w14:paraId="30A05984" w14:textId="77777777" w:rsidR="000A6AD8" w:rsidRDefault="006C7456" w:rsidP="00606494">
      <w:pPr>
        <w:jc w:val="both"/>
      </w:pPr>
      <w:r>
        <w:rPr>
          <w:rFonts w:ascii="Arial" w:eastAsia="Arial" w:hAnsi="Arial" w:cs="Arial"/>
        </w:rPr>
        <w:t xml:space="preserve">L'audience di Survivor Series è aumentata del 44% rispetto al precedente record stabilito nel 2022. Con 17.138 presenze, l'evento ha superato il precedente record di spettatori delle Survivor Series, stabilito a Brooklyn nel 2021. </w:t>
      </w:r>
    </w:p>
    <w:p w14:paraId="1296E3EA" w14:textId="77777777" w:rsidR="000A6AD8" w:rsidRDefault="000A6AD8" w:rsidP="00606494">
      <w:pPr>
        <w:jc w:val="both"/>
      </w:pPr>
    </w:p>
    <w:p w14:paraId="41B23C02" w14:textId="7AE37D9E" w:rsidR="000A6AD8" w:rsidRDefault="006C7456" w:rsidP="00606494">
      <w:pPr>
        <w:jc w:val="both"/>
      </w:pPr>
      <w:r>
        <w:rPr>
          <w:rFonts w:ascii="Arial" w:eastAsia="Arial" w:hAnsi="Arial" w:cs="Arial"/>
        </w:rPr>
        <w:t xml:space="preserve">In collaborazione con </w:t>
      </w:r>
      <w:proofErr w:type="spellStart"/>
      <w:r>
        <w:rPr>
          <w:rFonts w:ascii="Arial" w:eastAsia="Arial" w:hAnsi="Arial" w:cs="Arial"/>
        </w:rPr>
        <w:t>Fanatics</w:t>
      </w:r>
      <w:proofErr w:type="spellEnd"/>
      <w:r>
        <w:rPr>
          <w:rFonts w:ascii="Arial" w:eastAsia="Arial" w:hAnsi="Arial" w:cs="Arial"/>
        </w:rPr>
        <w:t xml:space="preserve">, Survivor Series ha battuto anche il record di merchandising di tutti i tempi del Premium Live Event. I ricavi da sponsorizzazione sono aumentati del 24% rispetto al 2022. </w:t>
      </w:r>
    </w:p>
    <w:p w14:paraId="6DB4F4D0" w14:textId="77777777" w:rsidR="000A6AD8" w:rsidRDefault="000A6AD8" w:rsidP="00606494">
      <w:pPr>
        <w:jc w:val="both"/>
      </w:pPr>
    </w:p>
    <w:p w14:paraId="5220B278" w14:textId="424CB5A8" w:rsidR="000A6AD8" w:rsidRDefault="006C7456" w:rsidP="00606494">
      <w:pPr>
        <w:jc w:val="both"/>
      </w:pPr>
      <w:r>
        <w:rPr>
          <w:rFonts w:ascii="Arial" w:eastAsia="Arial" w:hAnsi="Arial" w:cs="Arial"/>
        </w:rPr>
        <w:t xml:space="preserve">Inoltre, il ritorno a sorpresa di CM Punk, dopo quasi un decennio di assenza dalla WWE, ha favorito un coinvolgimento social massiccio. Il </w:t>
      </w:r>
      <w:hyperlink r:id="rId5" w:history="1">
        <w:r w:rsidRPr="006C7456">
          <w:rPr>
            <w:rStyle w:val="Collegamentoipertestuale"/>
            <w:rFonts w:ascii="Arial" w:eastAsia="Arial" w:hAnsi="Arial" w:cs="Arial"/>
          </w:rPr>
          <w:t>momento del ritorno</w:t>
        </w:r>
      </w:hyperlink>
      <w:r>
        <w:rPr>
          <w:rFonts w:ascii="Arial" w:eastAsia="Arial" w:hAnsi="Arial" w:cs="Arial"/>
        </w:rPr>
        <w:t xml:space="preserve"> di Punk ha superato i 71 milioni di visualizzazioni su tutte le piattaforme, diventando il post più social nella storia della compagnia.</w:t>
      </w:r>
    </w:p>
    <w:p w14:paraId="4B6B7671" w14:textId="77777777" w:rsidR="000A6AD8" w:rsidRDefault="000A6AD8" w:rsidP="00606494">
      <w:pPr>
        <w:jc w:val="both"/>
      </w:pPr>
    </w:p>
    <w:p w14:paraId="74ABA683" w14:textId="77777777" w:rsidR="000A6AD8" w:rsidRDefault="000A6AD8" w:rsidP="00606494">
      <w:pPr>
        <w:jc w:val="both"/>
      </w:pPr>
    </w:p>
    <w:p w14:paraId="781FEB25" w14:textId="77777777" w:rsidR="000A6AD8" w:rsidRDefault="000A6AD8"/>
    <w:p w14:paraId="7B8CD882" w14:textId="77777777" w:rsidR="000A6AD8" w:rsidRDefault="000A6AD8"/>
    <w:p w14:paraId="655AECFC" w14:textId="77777777" w:rsidR="000A6AD8" w:rsidRDefault="000A6AD8"/>
    <w:p w14:paraId="6C425FD4" w14:textId="77777777" w:rsidR="000A6AD8" w:rsidRDefault="000A6AD8"/>
    <w:p w14:paraId="49633184" w14:textId="77777777" w:rsidR="000A6AD8" w:rsidRDefault="000A6AD8"/>
    <w:p w14:paraId="7D6F6533" w14:textId="77777777" w:rsidR="000A6AD8" w:rsidRDefault="000A6AD8">
      <w:pPr>
        <w:rPr>
          <w:rFonts w:ascii="Arial" w:eastAsia="Arial" w:hAnsi="Arial" w:cs="Arial"/>
        </w:rPr>
      </w:pPr>
    </w:p>
    <w:p w14:paraId="358A43F9" w14:textId="77777777" w:rsidR="000A6AD8" w:rsidRDefault="000A6AD8">
      <w:pPr>
        <w:rPr>
          <w:rFonts w:ascii="Arial" w:eastAsia="Arial" w:hAnsi="Arial" w:cs="Arial"/>
        </w:rPr>
      </w:pPr>
    </w:p>
    <w:p w14:paraId="145E7769" w14:textId="77777777" w:rsidR="000A6AD8" w:rsidRDefault="000A6AD8">
      <w:pPr>
        <w:rPr>
          <w:rFonts w:ascii="Arial" w:eastAsia="Arial" w:hAnsi="Arial" w:cs="Arial"/>
        </w:rPr>
      </w:pPr>
    </w:p>
    <w:p w14:paraId="0717A35B" w14:textId="77777777" w:rsidR="000A6AD8" w:rsidRDefault="000A6AD8">
      <w:pPr>
        <w:rPr>
          <w:rFonts w:ascii="Arial" w:eastAsia="Arial" w:hAnsi="Arial" w:cs="Arial"/>
        </w:rPr>
      </w:pPr>
    </w:p>
    <w:p w14:paraId="30E293FB" w14:textId="77777777" w:rsidR="000A6AD8" w:rsidRDefault="000A6AD8">
      <w:pPr>
        <w:jc w:val="both"/>
      </w:pPr>
    </w:p>
    <w:p w14:paraId="7F53C751" w14:textId="77777777" w:rsidR="000A6AD8" w:rsidRDefault="000A6AD8">
      <w:pPr>
        <w:jc w:val="both"/>
      </w:pPr>
    </w:p>
    <w:p w14:paraId="4C126509" w14:textId="77777777" w:rsidR="000A6AD8" w:rsidRDefault="000A6AD8">
      <w:pPr>
        <w:jc w:val="both"/>
        <w:rPr>
          <w:rFonts w:ascii="Arial" w:eastAsia="Arial" w:hAnsi="Arial" w:cs="Arial"/>
        </w:rPr>
      </w:pPr>
    </w:p>
    <w:p w14:paraId="78BAF8C9" w14:textId="77777777" w:rsidR="000A6AD8" w:rsidRDefault="006C7456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 proposito di WWE</w:t>
      </w:r>
    </w:p>
    <w:p w14:paraId="37E73427" w14:textId="77777777" w:rsidR="000A6AD8" w:rsidRDefault="006C7456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 xml:space="preserve">WWE, parte di TKO Group Holdings (NYSE: TKO), è un'organizzazione mediatica integrata e leader mondiale riconosciuta nell'intrattenimento sportivo. L'azienda è costituita da un portafoglio di attività che creano e distribuiscono contenuti originali per 52 settimane all'anno a un pubblico globale. La WWE è impegnata in un intrattenimento adatto alle famiglie attraverso la sua programmazione televisiva, i Premium Live Event, i media digitali e le piattaforme editoriali. La </w:t>
      </w:r>
      <w:r>
        <w:lastRenderedPageBreak/>
        <w:t xml:space="preserve">programmazione TV-PG della WWE è visibile in oltre 1 miliardo di case in tutto il mondo in 25 lingue attraverso partner di distribuzione di livello mondiale, tra cui </w:t>
      </w:r>
      <w:proofErr w:type="spellStart"/>
      <w:r>
        <w:t>NBCUniversal</w:t>
      </w:r>
      <w:proofErr w:type="spellEnd"/>
      <w:r>
        <w:t xml:space="preserve">, FOX Sports, TNT Sport, Sony India e Rogers. Il pluripremiato WWE Network comprende tutti i Premium Live Event dal vivo, tutta la programmazione e un'enorme libreria di video-on-demand ed è attualmente disponibile in circa 165 Paesi. </w:t>
      </w:r>
    </w:p>
    <w:p w14:paraId="3BC87CD5" w14:textId="77777777" w:rsidR="000A6AD8" w:rsidRDefault="000A6AD8">
      <w:pPr>
        <w:ind w:right="566"/>
        <w:jc w:val="both"/>
      </w:pPr>
    </w:p>
    <w:p w14:paraId="1569C7DB" w14:textId="77777777" w:rsidR="000A6AD8" w:rsidRDefault="000A6AD8">
      <w:pPr>
        <w:ind w:right="566"/>
        <w:jc w:val="both"/>
      </w:pPr>
    </w:p>
    <w:p w14:paraId="1624D32F" w14:textId="77777777" w:rsidR="000A6AD8" w:rsidRDefault="000A6AD8">
      <w:pPr>
        <w:ind w:right="566"/>
        <w:jc w:val="both"/>
      </w:pPr>
    </w:p>
    <w:p w14:paraId="1DC67583" w14:textId="77777777" w:rsidR="000A6AD8" w:rsidRDefault="006C7456">
      <w:pPr>
        <w:ind w:right="566"/>
        <w:jc w:val="both"/>
      </w:pPr>
      <w:r>
        <w:t xml:space="preserve"> </w:t>
      </w:r>
    </w:p>
    <w:p w14:paraId="6196E859" w14:textId="77777777" w:rsidR="000A6AD8" w:rsidRDefault="000A6AD8">
      <w:pPr>
        <w:ind w:right="566"/>
        <w:jc w:val="both"/>
      </w:pPr>
    </w:p>
    <w:p w14:paraId="755C7C4A" w14:textId="77777777" w:rsidR="000A6AD8" w:rsidRDefault="000A6AD8">
      <w:pPr>
        <w:ind w:right="566"/>
        <w:jc w:val="both"/>
      </w:pPr>
    </w:p>
    <w:p w14:paraId="78191A8A" w14:textId="77777777" w:rsidR="000A6AD8" w:rsidRDefault="000A6AD8">
      <w:pPr>
        <w:ind w:right="566"/>
        <w:jc w:val="both"/>
      </w:pPr>
    </w:p>
    <w:p w14:paraId="761C237B" w14:textId="77777777" w:rsidR="000A6AD8" w:rsidRDefault="000A6AD8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08A0F8F" w14:textId="77777777" w:rsidR="000A6AD8" w:rsidRDefault="006C7456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Noesis per WWE</w:t>
      </w:r>
    </w:p>
    <w:p w14:paraId="3B83ADC0" w14:textId="77777777" w:rsidR="000A6AD8" w:rsidRDefault="006C7456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Alessia Rebaudo: </w:t>
      </w:r>
      <w:hyperlink r:id="rId6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alessia.rebaudo@noesis.net</w:t>
        </w:r>
      </w:hyperlink>
      <w:r>
        <w:rPr>
          <w:rFonts w:ascii="Open Sans Light" w:eastAsia="Open Sans Light" w:hAnsi="Open Sans Light" w:cs="Open Sans Light"/>
          <w:sz w:val="20"/>
          <w:szCs w:val="20"/>
        </w:rPr>
        <w:t xml:space="preserve"> </w:t>
      </w:r>
    </w:p>
    <w:p w14:paraId="45AD7F8F" w14:textId="77777777" w:rsidR="000A6AD8" w:rsidRDefault="006C7456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Federica Silva: </w:t>
      </w:r>
      <w:hyperlink r:id="rId7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federica.silva@noesis.net</w:t>
        </w:r>
      </w:hyperlink>
    </w:p>
    <w:p w14:paraId="2C035E80" w14:textId="77777777" w:rsidR="000A6AD8" w:rsidRDefault="006C7456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Francesco Palmerini: </w:t>
      </w:r>
      <w:hyperlink r:id="rId8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francesco.palmerini@noesis.net</w:t>
        </w:r>
      </w:hyperlink>
    </w:p>
    <w:p w14:paraId="184D2E44" w14:textId="77777777" w:rsidR="000A6AD8" w:rsidRDefault="006C7456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Telefono: +39 02 8310511</w:t>
      </w:r>
    </w:p>
    <w:p w14:paraId="63F4B168" w14:textId="77777777" w:rsidR="000A6AD8" w:rsidRDefault="000A6AD8">
      <w:pPr>
        <w:ind w:right="566"/>
        <w:jc w:val="both"/>
        <w:rPr>
          <w:rFonts w:ascii="Arial" w:eastAsia="Arial" w:hAnsi="Arial" w:cs="Arial"/>
        </w:rPr>
      </w:pPr>
    </w:p>
    <w:p w14:paraId="3D46C04B" w14:textId="77777777" w:rsidR="000A6AD8" w:rsidRDefault="006C7456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Marchi registrati</w:t>
      </w:r>
      <w:r>
        <w:rPr>
          <w:rFonts w:ascii="Arial" w:eastAsia="Arial" w:hAnsi="Arial" w:cs="Arial"/>
          <w:color w:val="000000"/>
          <w:sz w:val="16"/>
          <w:szCs w:val="16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5E4BCB18" w14:textId="77777777" w:rsidR="000A6AD8" w:rsidRDefault="000A6AD8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CBB4D5C" w14:textId="77777777" w:rsidR="000A6AD8" w:rsidRDefault="006C7456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Dichiarazioni previsionali</w:t>
      </w:r>
      <w:r>
        <w:rPr>
          <w:rFonts w:ascii="Arial" w:eastAsia="Arial" w:hAnsi="Arial" w:cs="Arial"/>
          <w:color w:val="000000"/>
          <w:sz w:val="16"/>
          <w:szCs w:val="16"/>
        </w:rPr>
        <w:t>: Questo comunicato stampa contiene dichiarazioni ai sensi delle disposizioni in materia di premi di sicurezza (safe-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harbour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) del Securities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Litigation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Reform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Act del 1995, che sono soggette a vari rischi e incertezze. Tali rischi e incertezze includono, senza limitazioni, i rischi relativi alla stipula, il mantenimento e il rinnovo degli accordi chiave, comprese la programmazione televisiva e della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-per-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ed i nostri nuovi accordi di distribuzione nella rete; rischi relativi al lancio e alla manutenzione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azioni da parte dei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McMahons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p w14:paraId="58937CA4" w14:textId="77777777" w:rsidR="000A6AD8" w:rsidRDefault="000A6AD8"/>
    <w:p w14:paraId="2D217E97" w14:textId="77777777" w:rsidR="000A6AD8" w:rsidRDefault="000A6AD8">
      <w:pPr>
        <w:rPr>
          <w:rFonts w:ascii="Arial" w:eastAsia="Arial" w:hAnsi="Arial" w:cs="Arial"/>
        </w:rPr>
      </w:pPr>
    </w:p>
    <w:p w14:paraId="7902269E" w14:textId="77777777" w:rsidR="000A6AD8" w:rsidRDefault="000A6AD8">
      <w:pPr>
        <w:rPr>
          <w:rFonts w:ascii="Arial" w:eastAsia="Arial" w:hAnsi="Arial" w:cs="Arial"/>
        </w:rPr>
      </w:pPr>
    </w:p>
    <w:p w14:paraId="62906B57" w14:textId="77777777" w:rsidR="000A6AD8" w:rsidRDefault="000A6AD8">
      <w:pPr>
        <w:rPr>
          <w:rFonts w:ascii="Arial" w:eastAsia="Arial" w:hAnsi="Arial" w:cs="Arial"/>
        </w:rPr>
      </w:pPr>
    </w:p>
    <w:p w14:paraId="5972D0D4" w14:textId="77777777" w:rsidR="000A6AD8" w:rsidRDefault="000A6AD8">
      <w:pPr>
        <w:rPr>
          <w:rFonts w:ascii="Arial" w:eastAsia="Arial" w:hAnsi="Arial" w:cs="Arial"/>
        </w:rPr>
      </w:pPr>
    </w:p>
    <w:p w14:paraId="24C24842" w14:textId="77777777" w:rsidR="000A6AD8" w:rsidRDefault="006C7456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4C5ACD63" w14:textId="77777777" w:rsidR="000A6AD8" w:rsidRDefault="000A6AD8">
      <w:pPr>
        <w:rPr>
          <w:rFonts w:ascii="Arial" w:eastAsia="Arial" w:hAnsi="Arial" w:cs="Arial"/>
          <w:b/>
          <w:u w:val="single"/>
        </w:rPr>
      </w:pPr>
    </w:p>
    <w:sectPr w:rsidR="000A6A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D8"/>
    <w:rsid w:val="000A6AD8"/>
    <w:rsid w:val="00606494"/>
    <w:rsid w:val="006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16FF"/>
  <w15:docId w15:val="{48C6B9EE-FD98-4544-99E8-3D629947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C745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7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palmerini@noesi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derica.silva@noesi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ssia.rebaudo@noesis.net" TargetMode="External"/><Relationship Id="rId5" Type="http://schemas.openxmlformats.org/officeDocument/2006/relationships/hyperlink" Target="https://twitter.com/wwe/status/1728622725885751428?s=46&amp;t=DLvE2j012GZ26yleGnZzG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Oliverio</dc:creator>
  <cp:lastModifiedBy>Sara Oliverio</cp:lastModifiedBy>
  <cp:revision>3</cp:revision>
  <dcterms:created xsi:type="dcterms:W3CDTF">2023-11-28T15:46:00Z</dcterms:created>
  <dcterms:modified xsi:type="dcterms:W3CDTF">2023-11-28T15:56:00Z</dcterms:modified>
</cp:coreProperties>
</file>