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5CC9" w14:textId="18804E5D" w:rsidR="00052FE5" w:rsidRDefault="008B1EDE" w:rsidP="00C04704">
      <w:pPr>
        <w:shd w:val="clear" w:color="auto" w:fill="FFFFFF"/>
        <w:spacing w:after="120" w:line="264" w:lineRule="auto"/>
        <w:outlineLvl w:val="0"/>
        <w:rPr>
          <w:rFonts w:ascii="Calibri" w:eastAsia="Times New Roman" w:hAnsi="Calibri" w:cs="Calibri"/>
          <w:b/>
          <w:bCs/>
          <w:kern w:val="36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kern w:val="36"/>
          <w:lang w:eastAsia="it-IT"/>
          <w14:ligatures w14:val="none"/>
        </w:rPr>
        <w:t xml:space="preserve">RBC </w:t>
      </w:r>
      <w:proofErr w:type="spellStart"/>
      <w:r>
        <w:rPr>
          <w:rFonts w:ascii="Calibri" w:eastAsia="Times New Roman" w:hAnsi="Calibri" w:cs="Calibri"/>
          <w:b/>
          <w:bCs/>
          <w:kern w:val="36"/>
          <w:lang w:eastAsia="it-IT"/>
          <w14:ligatures w14:val="none"/>
        </w:rPr>
        <w:t>BlueBay</w:t>
      </w:r>
      <w:proofErr w:type="spellEnd"/>
      <w:r>
        <w:rPr>
          <w:rFonts w:ascii="Calibri" w:eastAsia="Times New Roman" w:hAnsi="Calibri" w:cs="Calibri"/>
          <w:b/>
          <w:bCs/>
          <w:kern w:val="36"/>
          <w:lang w:eastAsia="it-IT"/>
          <w14:ligatures w14:val="none"/>
        </w:rPr>
        <w:t xml:space="preserve"> –</w:t>
      </w:r>
      <w:r w:rsidR="00717B77">
        <w:rPr>
          <w:rFonts w:ascii="Calibri" w:eastAsia="Times New Roman" w:hAnsi="Calibri" w:cs="Calibri"/>
          <w:b/>
          <w:bCs/>
          <w:kern w:val="36"/>
          <w:lang w:eastAsia="it-IT"/>
          <w14:ligatures w14:val="none"/>
        </w:rPr>
        <w:t xml:space="preserve"> India</w:t>
      </w:r>
      <w:r>
        <w:rPr>
          <w:rFonts w:ascii="Calibri" w:eastAsia="Times New Roman" w:hAnsi="Calibri" w:cs="Calibri"/>
          <w:b/>
          <w:bCs/>
          <w:kern w:val="36"/>
          <w:lang w:eastAsia="it-IT"/>
          <w14:ligatures w14:val="none"/>
        </w:rPr>
        <w:t xml:space="preserve">: </w:t>
      </w:r>
      <w:r w:rsidR="00717B77">
        <w:rPr>
          <w:rFonts w:ascii="Calibri" w:eastAsia="Times New Roman" w:hAnsi="Calibri" w:cs="Calibri"/>
          <w:b/>
          <w:bCs/>
          <w:kern w:val="36"/>
          <w:lang w:eastAsia="it-IT"/>
          <w14:ligatures w14:val="none"/>
        </w:rPr>
        <w:t>l’elefante nella stanza</w:t>
      </w:r>
    </w:p>
    <w:p w14:paraId="5131D6C5" w14:textId="77777777" w:rsidR="008B1EDE" w:rsidRPr="003E4A1B" w:rsidRDefault="008B1EDE" w:rsidP="00C04704">
      <w:pPr>
        <w:shd w:val="clear" w:color="auto" w:fill="FFFFFF"/>
        <w:spacing w:after="120" w:line="264" w:lineRule="auto"/>
        <w:textAlignment w:val="center"/>
        <w:rPr>
          <w:lang w:val="en-US"/>
        </w:rPr>
      </w:pPr>
      <w:r w:rsidRPr="003E4A1B">
        <w:rPr>
          <w:lang w:val="en-US"/>
        </w:rPr>
        <w:t xml:space="preserve">A </w:t>
      </w:r>
      <w:proofErr w:type="spellStart"/>
      <w:r w:rsidRPr="003E4A1B">
        <w:rPr>
          <w:lang w:val="en-US"/>
        </w:rPr>
        <w:t>cura</w:t>
      </w:r>
      <w:proofErr w:type="spellEnd"/>
      <w:r w:rsidRPr="003E4A1B">
        <w:rPr>
          <w:lang w:val="en-US"/>
        </w:rPr>
        <w:t xml:space="preserve"> di </w:t>
      </w:r>
      <w:r w:rsidRPr="003E4A1B">
        <w:rPr>
          <w:b/>
          <w:bCs/>
          <w:lang w:val="en-US"/>
        </w:rPr>
        <w:t xml:space="preserve">Polina </w:t>
      </w:r>
      <w:proofErr w:type="spellStart"/>
      <w:r w:rsidRPr="003E4A1B">
        <w:rPr>
          <w:b/>
          <w:bCs/>
          <w:lang w:val="en-US"/>
        </w:rPr>
        <w:t>Kurdyavko</w:t>
      </w:r>
      <w:proofErr w:type="spellEnd"/>
      <w:r w:rsidRPr="003E4A1B">
        <w:rPr>
          <w:b/>
          <w:bCs/>
          <w:lang w:val="en-US"/>
        </w:rPr>
        <w:t>, Head of BlueBay Emerging Markets, Emerging Markets, RBC BlueBay</w:t>
      </w:r>
    </w:p>
    <w:p w14:paraId="361A4BA9" w14:textId="57EEB21C" w:rsidR="0085184C" w:rsidRPr="003E4A1B" w:rsidRDefault="000C7458" w:rsidP="00C04704">
      <w:pPr>
        <w:shd w:val="clear" w:color="auto" w:fill="FFFFFF"/>
        <w:spacing w:after="120" w:line="264" w:lineRule="auto"/>
        <w:textAlignment w:val="center"/>
        <w:rPr>
          <w:rFonts w:ascii="Calibri" w:eastAsia="Times New Roman" w:hAnsi="Calibri" w:cs="Calibri"/>
          <w:kern w:val="0"/>
          <w:lang w:val="en-US" w:eastAsia="it-IT"/>
          <w14:ligatures w14:val="none"/>
        </w:rPr>
      </w:pPr>
      <w:hyperlink r:id="rId4" w:history="1"/>
    </w:p>
    <w:p w14:paraId="14C3553B" w14:textId="4941703F" w:rsidR="0085184C" w:rsidRPr="00C04704" w:rsidRDefault="003E4A1B" w:rsidP="00C04704">
      <w:pPr>
        <w:shd w:val="clear" w:color="auto" w:fill="FFFFFF"/>
        <w:spacing w:after="120" w:line="264" w:lineRule="auto"/>
        <w:rPr>
          <w:rFonts w:ascii="Calibri" w:eastAsia="Times New Roman" w:hAnsi="Calibri" w:cs="Calibri"/>
          <w:color w:val="FF0000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Rispetto a paesi come Argentina e Sudafrica, l</w:t>
      </w:r>
      <w:r w:rsidR="00052FE5"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'India sembra essere in controtendenza.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Mentre sembrerebbero necessari maggiori passi avanti in campo economico nei primi due paesi, l’India 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si è comportat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a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sorprendentemente bene quando si è trattato di affrontare le incertezze economiche e geopolitiche del mondo attuale. Siamo costruttivi sul debito societario indiano in valuta forte e neutrali sul debito in valuta locale, soprattutto a causa delle valutazioni. </w:t>
      </w:r>
      <w:r w:rsidR="00052FE5"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Negli ultimi due anni, il 50% della crescita del P</w:t>
      </w:r>
      <w:r w:rsidR="004302A4"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il</w:t>
      </w:r>
      <w:r w:rsidR="00052FE5"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globale è derivato dai mercati emergenti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La Cina non ha contribuito in alcun modo a questo aumento, mentre l'India </w:t>
      </w:r>
      <w:r w:rsidR="00291DC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ne 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è stata il maggior artefice, con una crescita del P</w:t>
      </w:r>
      <w:r w:rsidR="004302A4">
        <w:rPr>
          <w:rFonts w:ascii="Calibri" w:eastAsia="Times New Roman" w:hAnsi="Calibri" w:cs="Calibri"/>
          <w:kern w:val="0"/>
          <w:lang w:eastAsia="it-IT"/>
          <w14:ligatures w14:val="none"/>
        </w:rPr>
        <w:t>il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del 16%. Insieme a Indonesia, Messico, Brasile e Polonia, questi cinque </w:t>
      </w:r>
      <w:r w:rsidR="004302A4">
        <w:rPr>
          <w:rFonts w:ascii="Calibri" w:eastAsia="Times New Roman" w:hAnsi="Calibri" w:cs="Calibri"/>
          <w:kern w:val="0"/>
          <w:lang w:eastAsia="it-IT"/>
          <w14:ligatures w14:val="none"/>
        </w:rPr>
        <w:t>stati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hanno rappresentato la metà della crescita totale del P</w:t>
      </w:r>
      <w:r w:rsidR="004302A4">
        <w:rPr>
          <w:rFonts w:ascii="Calibri" w:eastAsia="Times New Roman" w:hAnsi="Calibri" w:cs="Calibri"/>
          <w:kern w:val="0"/>
          <w:lang w:eastAsia="it-IT"/>
          <w14:ligatures w14:val="none"/>
        </w:rPr>
        <w:t>il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de</w:t>
      </w:r>
      <w:r w:rsidR="00C37ACE">
        <w:rPr>
          <w:rFonts w:ascii="Calibri" w:eastAsia="Times New Roman" w:hAnsi="Calibri" w:cs="Calibri"/>
          <w:kern w:val="0"/>
          <w:lang w:eastAsia="it-IT"/>
          <w14:ligatures w14:val="none"/>
        </w:rPr>
        <w:t>i paesi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="004302A4">
        <w:rPr>
          <w:rFonts w:ascii="Calibri" w:eastAsia="Times New Roman" w:hAnsi="Calibri" w:cs="Calibri"/>
          <w:kern w:val="0"/>
          <w:lang w:eastAsia="it-IT"/>
          <w14:ligatures w14:val="none"/>
        </w:rPr>
        <w:t>emergenti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nello stesso periodo. </w:t>
      </w:r>
    </w:p>
    <w:p w14:paraId="67E284BC" w14:textId="6E7C019E" w:rsidR="00052FE5" w:rsidRPr="00DD019B" w:rsidRDefault="008B1EDE" w:rsidP="00C04704">
      <w:pPr>
        <w:shd w:val="clear" w:color="auto" w:fill="FFFFFF"/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8B1EDE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I segreti del successo dell’India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</w:p>
    <w:p w14:paraId="1125EB55" w14:textId="620E16BD" w:rsidR="00052FE5" w:rsidRPr="0085184C" w:rsidRDefault="003E4A1B" w:rsidP="00C04704">
      <w:pPr>
        <w:shd w:val="clear" w:color="auto" w:fill="FFFFFF"/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lang w:eastAsia="it-IT"/>
          <w14:ligatures w14:val="none"/>
        </w:rPr>
        <w:t>Alla base della crescita indiana ci sono sei elementi. Il primo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è la </w:t>
      </w:r>
      <w:r w:rsidR="00052FE5" w:rsidRPr="00291DC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demografia</w:t>
      </w:r>
      <w:r w:rsidR="000C7458">
        <w:rPr>
          <w:rFonts w:ascii="Calibri" w:eastAsia="Times New Roman" w:hAnsi="Calibri" w:cs="Calibri"/>
          <w:kern w:val="0"/>
          <w:lang w:eastAsia="it-IT"/>
          <w14:ligatures w14:val="none"/>
        </w:rPr>
        <w:t>: l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'India è il 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>p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aese più popoloso del mondo e rappresenta un sesto della popolazione mondiale totale. Mentre il resto del mondo soffre di carenza di manodopera, l'India beneficia di forti dividendi demografici. </w:t>
      </w:r>
      <w:r w:rsidR="00052FE5"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Con il 70% della popolazione attiva e un costo del lavoro inferiore a quello della Cina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, l'India ha offerto soluzioni a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gli stati 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che si trovano ad affrontare </w:t>
      </w:r>
      <w:r w:rsidR="007C1B87">
        <w:rPr>
          <w:rFonts w:ascii="Calibri" w:eastAsia="Times New Roman" w:hAnsi="Calibri" w:cs="Calibri"/>
          <w:kern w:val="0"/>
          <w:lang w:eastAsia="it-IT"/>
          <w14:ligatures w14:val="none"/>
        </w:rPr>
        <w:t>un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a recente carenza di </w:t>
      </w:r>
      <w:r w:rsidR="007C1B87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forza 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lavoro, aumentando la produzione per </w:t>
      </w:r>
      <w:r w:rsidR="00291DC3">
        <w:rPr>
          <w:rFonts w:ascii="Calibri" w:eastAsia="Times New Roman" w:hAnsi="Calibri" w:cs="Calibri"/>
          <w:kern w:val="0"/>
          <w:lang w:eastAsia="it-IT"/>
          <w14:ligatures w14:val="none"/>
        </w:rPr>
        <w:t>velocizzare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la catena di approvvigionamento o colmare il divario di manodopera.</w:t>
      </w:r>
    </w:p>
    <w:p w14:paraId="49F639F3" w14:textId="6B81AF89" w:rsidR="00052FE5" w:rsidRPr="0085184C" w:rsidRDefault="004117CC" w:rsidP="00C04704">
      <w:pPr>
        <w:shd w:val="clear" w:color="auto" w:fill="FFFFFF"/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lang w:eastAsia="it-IT"/>
          <w14:ligatures w14:val="none"/>
        </w:rPr>
        <w:t>Il secondo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è la </w:t>
      </w:r>
      <w:r w:rsidR="00052FE5" w:rsidRPr="00291DC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vicinanza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="00052FE5" w:rsidRPr="008B1ED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al Medio Oriente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Questo, insieme al miglioramento delle relazioni con 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>p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aesi come Arabia Saudita, Emirati Arabi Uniti, Egitto e Israele, solo per citarne alcuni, ha trasformato l'India in una nuova potenza in Medio Oriente.</w:t>
      </w:r>
    </w:p>
    <w:p w14:paraId="5A622EE4" w14:textId="4B730F2F" w:rsidR="00052FE5" w:rsidRPr="0085184C" w:rsidRDefault="00052FE5" w:rsidP="00C04704">
      <w:pPr>
        <w:shd w:val="clear" w:color="auto" w:fill="FFFFFF"/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Il terzo 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elemento 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è il </w:t>
      </w:r>
      <w:r w:rsidRPr="00291DC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declino della Cina</w:t>
      </w:r>
      <w:r w:rsidR="000C7458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Pechino è infatti 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diventat</w:t>
      </w:r>
      <w:r w:rsidR="000C7458">
        <w:rPr>
          <w:rFonts w:ascii="Calibri" w:eastAsia="Times New Roman" w:hAnsi="Calibri" w:cs="Calibri"/>
          <w:kern w:val="0"/>
          <w:lang w:eastAsia="it-IT"/>
          <w14:ligatures w14:val="none"/>
        </w:rPr>
        <w:t>a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il dividendo geopolitico dell'India</w:t>
      </w:r>
      <w:r w:rsidR="000C7458">
        <w:rPr>
          <w:rFonts w:ascii="Calibri" w:eastAsia="Times New Roman" w:hAnsi="Calibri" w:cs="Calibri"/>
          <w:kern w:val="0"/>
          <w:lang w:eastAsia="it-IT"/>
          <w14:ligatures w14:val="none"/>
        </w:rPr>
        <w:t>, che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ha </w:t>
      </w:r>
      <w:r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beneficiato dell'aumento delle tensioni geopolitiche tra Cina e Occidente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offrendo una destinazione d'investimento alternativa. La Cina</w:t>
      </w:r>
      <w:r w:rsidR="00883BC4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da investimento strategico, è sempre più presente nell’asset </w:t>
      </w:r>
      <w:proofErr w:type="spellStart"/>
      <w:r w:rsidR="00883BC4">
        <w:rPr>
          <w:rFonts w:ascii="Calibri" w:eastAsia="Times New Roman" w:hAnsi="Calibri" w:cs="Calibri"/>
          <w:kern w:val="0"/>
          <w:lang w:eastAsia="it-IT"/>
          <w14:ligatures w14:val="none"/>
        </w:rPr>
        <w:t>allocation</w:t>
      </w:r>
      <w:proofErr w:type="spellEnd"/>
      <w:r w:rsidR="00883BC4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tattica degli investitori, mentre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gli investimenti diretti si stanno </w:t>
      </w:r>
      <w:r w:rsidR="004117CC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spostando al di </w:t>
      </w:r>
      <w:r w:rsidR="00C37ACE">
        <w:rPr>
          <w:rFonts w:ascii="Calibri" w:eastAsia="Times New Roman" w:hAnsi="Calibri" w:cs="Calibri"/>
          <w:kern w:val="0"/>
          <w:lang w:eastAsia="it-IT"/>
          <w14:ligatures w14:val="none"/>
        </w:rPr>
        <w:t>fuori dai</w:t>
      </w:r>
      <w:r w:rsidR="00883BC4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confin</w:t>
      </w:r>
      <w:r w:rsidR="00C37ACE">
        <w:rPr>
          <w:rFonts w:ascii="Calibri" w:eastAsia="Times New Roman" w:hAnsi="Calibri" w:cs="Calibri"/>
          <w:kern w:val="0"/>
          <w:lang w:eastAsia="it-IT"/>
          <w14:ligatures w14:val="none"/>
        </w:rPr>
        <w:t>i</w:t>
      </w:r>
      <w:r w:rsidR="004117CC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nazionali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, con aziende e impianti di produzione che si trasferiscono in India.</w:t>
      </w:r>
      <w:r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Sul fronte geopolitico, l'India è riuscita a navigare con successo e a preservare in larga misura la propria neutralità 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in mezzo ai conflitti globali e a mantenere una relativa stabilità politica, tanto che le elezioni presidenziali del prossimo anno sono considerate un non-evento.</w:t>
      </w:r>
    </w:p>
    <w:p w14:paraId="344E0866" w14:textId="68716B6B" w:rsidR="00052FE5" w:rsidRPr="00C04704" w:rsidRDefault="00052FE5" w:rsidP="00C04704">
      <w:pPr>
        <w:shd w:val="clear" w:color="auto" w:fill="FFFFFF"/>
        <w:spacing w:after="120" w:line="264" w:lineRule="auto"/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</w:pP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Il quarto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fattore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è l'attenzione </w:t>
      </w:r>
      <w:r w:rsidRPr="000C7458">
        <w:rPr>
          <w:rFonts w:ascii="Calibri" w:eastAsia="Times New Roman" w:hAnsi="Calibri" w:cs="Calibri"/>
          <w:kern w:val="0"/>
          <w:lang w:eastAsia="it-IT"/>
          <w14:ligatures w14:val="none"/>
        </w:rPr>
        <w:t>dell'</w:t>
      </w:r>
      <w:r w:rsidRPr="00C04704">
        <w:rPr>
          <w:rFonts w:ascii="Calibri" w:eastAsia="Times New Roman" w:hAnsi="Calibri" w:cs="Calibri"/>
          <w:kern w:val="0"/>
          <w:lang w:eastAsia="it-IT"/>
          <w14:ligatures w14:val="none"/>
        </w:rPr>
        <w:t>India per</w:t>
      </w:r>
      <w:r w:rsidRPr="004964B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le infrastrutture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Questi investimenti sono cresciuti a un ritmo molto </w:t>
      </w:r>
      <w:r w:rsidR="00883BC4">
        <w:rPr>
          <w:rFonts w:ascii="Calibri" w:eastAsia="Times New Roman" w:hAnsi="Calibri" w:cs="Calibri"/>
          <w:kern w:val="0"/>
          <w:lang w:eastAsia="it-IT"/>
          <w14:ligatures w14:val="none"/>
        </w:rPr>
        <w:t>rapido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, con</w:t>
      </w:r>
      <w:r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il governo che ha triplicato la spesa di bilancio annuale nel setto</w:t>
      </w:r>
      <w:r w:rsidR="00C37ACE"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re infrastrutturale</w:t>
      </w:r>
      <w:r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negli ultimi quattro anni, portandola al 3% del P</w:t>
      </w:r>
      <w:r w:rsidR="00860F93"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il</w:t>
      </w:r>
      <w:r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.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In effetti, il numero di autostrade è raddoppiato negli ultimi 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>dieci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anni, mentre anche le reti ferroviarie e marittime hanno beneficiato di maggiori livelli di investimento. Oggi, gli investimenti previsti dall'India in infrastrutture, in percentuale del P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>il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, restano i quarti al mondo dopo Cina, Indonesia e Australia. L'India gode anche di un vantaggio in termini di finanziamento: il 100% del suo deficit fiscale è finanziato localmente.</w:t>
      </w:r>
    </w:p>
    <w:p w14:paraId="01DC06AD" w14:textId="139E5EB8" w:rsidR="00052FE5" w:rsidRPr="0085184C" w:rsidRDefault="00052FE5" w:rsidP="00C04704">
      <w:pPr>
        <w:shd w:val="clear" w:color="auto" w:fill="FFFFFF"/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Il quinto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è il progresso dell'</w:t>
      </w:r>
      <w:r w:rsidRPr="004964B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India sul fronte delle energie rinnovabili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L'India ha la più grande capacità solare al mondo e 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>sarà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l'unico 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>mercato emergente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a raggiungere gli obiettivi della COP27. Con una crescita annua della domanda di elettricità dell'8-9%, il governo </w:t>
      </w:r>
      <w:r w:rsidR="004117CC">
        <w:rPr>
          <w:rFonts w:ascii="Calibri" w:eastAsia="Times New Roman" w:hAnsi="Calibri" w:cs="Calibri"/>
          <w:kern w:val="0"/>
          <w:lang w:eastAsia="it-IT"/>
          <w14:ligatures w14:val="none"/>
        </w:rPr>
        <w:t>sta chiedendo</w:t>
      </w:r>
      <w:r w:rsidR="004117CC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ai produttori di energia rinnovabile di passare a un nuovo modello ibrido, che fornisca energia eolica e solare per garantire una fornitura di energia ininterrotta.</w:t>
      </w:r>
      <w:r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La capacità dell'India di produrre energia da combustibili non fossili è aumentata di quattro volte negli ultimi otto anni e ora rappresenta il 43% della capacità elettrica totale del Paese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lastRenderedPageBreak/>
        <w:t xml:space="preserve">L'India è un buon esempio di 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>nazione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che è stat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>a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in grado di disaccoppiare la propria crescita economica dalle emissioni di gas serra, che sono diminuite del 33% dal 2009.</w:t>
      </w:r>
    </w:p>
    <w:p w14:paraId="4DFE8338" w14:textId="417748A0" w:rsidR="0085184C" w:rsidRPr="00C37ACE" w:rsidRDefault="00AA7BD8" w:rsidP="00C04704">
      <w:pPr>
        <w:shd w:val="clear" w:color="auto" w:fill="FFFFFF"/>
        <w:spacing w:after="120" w:line="264" w:lineRule="auto"/>
        <w:rPr>
          <w:rFonts w:ascii="Calibri" w:eastAsia="Times New Roman" w:hAnsi="Calibri" w:cs="Calibri"/>
          <w:color w:val="FF0000"/>
          <w:kern w:val="0"/>
          <w:lang w:val="en-US" w:eastAsia="it-IT"/>
          <w14:ligatures w14:val="none"/>
        </w:rPr>
      </w:pPr>
      <w:r>
        <w:rPr>
          <w:rFonts w:ascii="Calibri" w:eastAsia="Times New Roman" w:hAnsi="Calibri" w:cs="Calibri"/>
          <w:kern w:val="0"/>
          <w:lang w:eastAsia="it-IT"/>
          <w14:ligatures w14:val="none"/>
        </w:rPr>
        <w:t>Infine,</w:t>
      </w:r>
      <w:r w:rsidR="00052FE5" w:rsidRPr="004964B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il Paese si sta concentrando sul miglioramento della regolamentazione</w:t>
      </w:r>
      <w:r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dell’industria locale del risparmio gestito</w:t>
      </w:r>
      <w:r w:rsidR="00052FE5" w:rsidRPr="004964B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e sulla facilitazione dell'accesso </w:t>
      </w:r>
      <w:r w:rsidR="004117C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straniero</w:t>
      </w:r>
      <w:r w:rsidR="00052FE5" w:rsidRPr="004964BE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ai mercati finanziari indiani.</w:t>
      </w:r>
      <w:r w:rsidR="00052FE5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</w:p>
    <w:p w14:paraId="0CFBB4E0" w14:textId="757B584E" w:rsidR="000C7458" w:rsidRPr="00C04704" w:rsidRDefault="000C7458" w:rsidP="004117CC">
      <w:pPr>
        <w:shd w:val="clear" w:color="auto" w:fill="FFFFFF"/>
        <w:spacing w:after="120" w:line="264" w:lineRule="auto"/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I fattori da monitorare</w:t>
      </w:r>
    </w:p>
    <w:p w14:paraId="51D86BE5" w14:textId="5F063A69" w:rsidR="00052FE5" w:rsidRPr="0085184C" w:rsidRDefault="00052FE5" w:rsidP="00C04704">
      <w:pPr>
        <w:shd w:val="clear" w:color="auto" w:fill="FFFFFF"/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Con così tanti vantaggi, cosa impedirebbe all'India di attrarre ancora più capitali? Una delle sfide è rappresentata dalle attuali valutazioni azionarie. L'India è il secondo mercato azionario più caro al mondo dopo gli Stati Uniti. Nonostante il modesto aumento del tasso di riferimento nel contesto globale</w:t>
      </w:r>
      <w:r w:rsidR="00883BC4">
        <w:rPr>
          <w:rFonts w:ascii="Calibri" w:eastAsia="Times New Roman" w:hAnsi="Calibri" w:cs="Calibri"/>
          <w:kern w:val="0"/>
          <w:lang w:eastAsia="it-IT"/>
          <w14:ligatures w14:val="none"/>
        </w:rPr>
        <w:t>,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visto che 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la banca centrale ha aumentato il tasso di riferimento del 2,5%, portandolo al 6,5%,</w:t>
      </w:r>
      <w:r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le imprese considerano l'aumento dei tassi uno dei rischi principali per i loro obiettivi di crescita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. I livelli di leva finanziaria sono gestibili su base aggregata, con un</w:t>
      </w:r>
      <w:r w:rsidR="004117CC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rapporto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debito pubblico/P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>il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intorno all'80% e un</w:t>
      </w:r>
      <w:r w:rsidR="004117CC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rapporto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debito privato/P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>il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al 50%.</w:t>
      </w:r>
    </w:p>
    <w:p w14:paraId="07D35736" w14:textId="577C1BCE" w:rsidR="00052FE5" w:rsidRPr="00052FE5" w:rsidRDefault="00052FE5" w:rsidP="00C04704">
      <w:pPr>
        <w:shd w:val="clear" w:color="auto" w:fill="FFFFFF"/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Tuttavia, </w:t>
      </w:r>
      <w:r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in alcuni settori come quello delle energie rinnovabili, i livelli di </w:t>
      </w:r>
      <w:r w:rsidR="00AA7BD8"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indebi</w:t>
      </w:r>
      <w:r w:rsidR="00883BC4"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t</w:t>
      </w:r>
      <w:r w:rsidR="00AA7BD8"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amento</w:t>
      </w:r>
      <w:r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sono elevati tra alcuni emittenti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, il che potrebbe rappresentare una sfida per il raggiungimento dei futuri obiettivi di crescita. Un'altra sfida è rappresentata dall'inflazione strutturale. La banca centrale ha un regime di obiettivi flessibili in materia di inflazione</w:t>
      </w:r>
      <w:r w:rsidR="00AA7BD8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data la continua attenzione alla riduzione del tasso di povertà nel </w:t>
      </w:r>
      <w:r w:rsidR="004117CC">
        <w:rPr>
          <w:rFonts w:ascii="Calibri" w:eastAsia="Times New Roman" w:hAnsi="Calibri" w:cs="Calibri"/>
          <w:kern w:val="0"/>
          <w:lang w:eastAsia="it-IT"/>
          <w14:ligatures w14:val="none"/>
        </w:rPr>
        <w:t>p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aese. Sebbene l'attuale tasso d'inflazione, inferiore al 5%, sia ben controllato, la propensione </w:t>
      </w:r>
      <w:r w:rsidR="004117CC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a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adottare una politica monetaria più aggressiva in futuro potrebbe essere limitata, qualora la tendenza inflazionistica dovesse cambiare.</w:t>
      </w:r>
    </w:p>
    <w:p w14:paraId="258A0497" w14:textId="61115519" w:rsidR="00052FE5" w:rsidRPr="0085184C" w:rsidRDefault="00052FE5" w:rsidP="00C04704">
      <w:pPr>
        <w:shd w:val="clear" w:color="auto" w:fill="FFFFFF"/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Nel 2022, le esportazioni cinesi verso gli Stati Uniti sono state pari a 536 miliardi di dollari, contro gli 85 miliardi dell'India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Se il calo delle importazioni cinesi </w:t>
      </w:r>
      <w:r w:rsidR="00AA7BD8"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fosse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di natura più strutturale, l'inflazione dei beni potrebbe subire ulteriori pressioni.</w:t>
      </w:r>
    </w:p>
    <w:p w14:paraId="0194545E" w14:textId="506D5B3B" w:rsidR="00052FE5" w:rsidRPr="00052FE5" w:rsidRDefault="00052FE5" w:rsidP="00C04704">
      <w:pPr>
        <w:shd w:val="clear" w:color="auto" w:fill="FFFFFF"/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Da un punto di vista bottom-up, </w:t>
      </w:r>
      <w:r w:rsidR="00DF44C7"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in India </w:t>
      </w:r>
      <w:r w:rsidRPr="00EF7DEC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vediamo anche alcune aziende di grandi dimensioni in difficoltà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, in particolare il conglomerato Adani, a causa delle valutazioni azionarie gonfiate, e il gigante minerario Vedanta, a causa del suo eccess</w:t>
      </w:r>
      <w:r w:rsidR="00AA7BD8">
        <w:rPr>
          <w:rFonts w:ascii="Calibri" w:eastAsia="Times New Roman" w:hAnsi="Calibri" w:cs="Calibri"/>
          <w:kern w:val="0"/>
          <w:lang w:eastAsia="it-IT"/>
          <w14:ligatures w14:val="none"/>
        </w:rPr>
        <w:t>ivo indebitamento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Detto questo, non vediamo un rischio di contagio per il settore bancario nazionale o per l'industria del risparmio gestito, data l'esposizione limitata a entrambi i </w:t>
      </w:r>
      <w:r w:rsidR="00860F93">
        <w:rPr>
          <w:rFonts w:ascii="Calibri" w:eastAsia="Times New Roman" w:hAnsi="Calibri" w:cs="Calibri"/>
          <w:kern w:val="0"/>
          <w:lang w:eastAsia="it-IT"/>
          <w14:ligatures w14:val="none"/>
        </w:rPr>
        <w:t>titoli</w:t>
      </w:r>
      <w:r w:rsidRPr="00052FE5">
        <w:rPr>
          <w:rFonts w:ascii="Calibri" w:eastAsia="Times New Roman" w:hAnsi="Calibri" w:cs="Calibri"/>
          <w:kern w:val="0"/>
          <w:lang w:eastAsia="it-IT"/>
          <w14:ligatures w14:val="none"/>
        </w:rPr>
        <w:t>.</w:t>
      </w:r>
    </w:p>
    <w:p w14:paraId="161F2347" w14:textId="793C26D1" w:rsidR="00052FE5" w:rsidRPr="00052FE5" w:rsidRDefault="000C7458" w:rsidP="00C04704">
      <w:pPr>
        <w:spacing w:after="120" w:line="264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In conclusione, </w:t>
      </w:r>
      <w:r>
        <w:rPr>
          <w:rFonts w:ascii="Calibri" w:hAnsi="Calibri" w:cs="Calibri"/>
        </w:rPr>
        <w:t>i</w:t>
      </w:r>
      <w:r w:rsidR="004117CC">
        <w:rPr>
          <w:rFonts w:ascii="Calibri" w:hAnsi="Calibri" w:cs="Calibri"/>
        </w:rPr>
        <w:t>n qualità di</w:t>
      </w:r>
      <w:r w:rsidR="004117CC" w:rsidRPr="00052FE5">
        <w:rPr>
          <w:rFonts w:ascii="Calibri" w:hAnsi="Calibri" w:cs="Calibri"/>
        </w:rPr>
        <w:t xml:space="preserve"> </w:t>
      </w:r>
      <w:r w:rsidR="00052FE5" w:rsidRPr="00052FE5">
        <w:rPr>
          <w:rFonts w:ascii="Calibri" w:hAnsi="Calibri" w:cs="Calibri"/>
        </w:rPr>
        <w:t xml:space="preserve">investitori, </w:t>
      </w:r>
      <w:r w:rsidR="004117CC">
        <w:rPr>
          <w:rFonts w:ascii="Calibri" w:hAnsi="Calibri" w:cs="Calibri"/>
          <w:b/>
          <w:bCs/>
        </w:rPr>
        <w:t>ci piacerebbe vedere</w:t>
      </w:r>
      <w:r w:rsidR="00052FE5" w:rsidRPr="00EF7DEC">
        <w:rPr>
          <w:rFonts w:ascii="Calibri" w:hAnsi="Calibri" w:cs="Calibri"/>
          <w:b/>
          <w:bCs/>
        </w:rPr>
        <w:t xml:space="preserve"> </w:t>
      </w:r>
      <w:r w:rsidR="00527227" w:rsidRPr="00EF7DEC">
        <w:rPr>
          <w:rFonts w:ascii="Calibri" w:hAnsi="Calibri" w:cs="Calibri"/>
          <w:b/>
          <w:bCs/>
        </w:rPr>
        <w:t xml:space="preserve">anche </w:t>
      </w:r>
      <w:r w:rsidR="00052FE5" w:rsidRPr="00EF7DEC">
        <w:rPr>
          <w:rFonts w:ascii="Calibri" w:hAnsi="Calibri" w:cs="Calibri"/>
          <w:b/>
          <w:bCs/>
        </w:rPr>
        <w:t>altri "elefanti nella stanza" come l'India</w:t>
      </w:r>
      <w:r w:rsidR="00052FE5" w:rsidRPr="00052FE5">
        <w:rPr>
          <w:rFonts w:ascii="Calibri" w:hAnsi="Calibri" w:cs="Calibri"/>
        </w:rPr>
        <w:t xml:space="preserve"> che potrebbero tradursi in future opportunità di investimento.</w:t>
      </w:r>
    </w:p>
    <w:p w14:paraId="4F659016" w14:textId="5EBBDB8D" w:rsidR="0055191F" w:rsidRPr="00DD019B" w:rsidRDefault="0055191F" w:rsidP="00C04704">
      <w:pPr>
        <w:spacing w:after="120" w:line="264" w:lineRule="auto"/>
        <w:rPr>
          <w:rFonts w:ascii="Calibri" w:hAnsi="Calibri" w:cs="Calibri"/>
        </w:rPr>
      </w:pPr>
    </w:p>
    <w:sectPr w:rsidR="0055191F" w:rsidRPr="00DD0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1F"/>
    <w:rsid w:val="00052FE5"/>
    <w:rsid w:val="000C7458"/>
    <w:rsid w:val="001037B5"/>
    <w:rsid w:val="00291DC3"/>
    <w:rsid w:val="002B7A3A"/>
    <w:rsid w:val="00311659"/>
    <w:rsid w:val="003673DC"/>
    <w:rsid w:val="003E4A1B"/>
    <w:rsid w:val="004117CC"/>
    <w:rsid w:val="004302A4"/>
    <w:rsid w:val="004964BE"/>
    <w:rsid w:val="00527227"/>
    <w:rsid w:val="0055191F"/>
    <w:rsid w:val="00717B77"/>
    <w:rsid w:val="007C1B87"/>
    <w:rsid w:val="0085184C"/>
    <w:rsid w:val="00860F93"/>
    <w:rsid w:val="00883BC4"/>
    <w:rsid w:val="008B1EDE"/>
    <w:rsid w:val="00AA7BD8"/>
    <w:rsid w:val="00B912BD"/>
    <w:rsid w:val="00C04704"/>
    <w:rsid w:val="00C37ACE"/>
    <w:rsid w:val="00C83511"/>
    <w:rsid w:val="00C84D2A"/>
    <w:rsid w:val="00C85083"/>
    <w:rsid w:val="00DD019B"/>
    <w:rsid w:val="00DF44C7"/>
    <w:rsid w:val="00E345DE"/>
    <w:rsid w:val="00EF7DEC"/>
    <w:rsid w:val="00F97DDB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DEE6"/>
  <w15:chartTrackingRefBased/>
  <w15:docId w15:val="{32AB54E2-890C-4686-9091-250A0BB9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51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851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18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184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184C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85184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5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85184C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18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f01">
    <w:name w:val="cf01"/>
    <w:basedOn w:val="Carpredefinitoparagrafo"/>
    <w:rsid w:val="00717B77"/>
    <w:rPr>
      <w:rFonts w:ascii="Segoe UI" w:hAnsi="Segoe UI" w:cs="Segoe UI" w:hint="default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17B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7B77"/>
    <w:pPr>
      <w:spacing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7B77"/>
    <w:rPr>
      <w:kern w:val="0"/>
      <w:sz w:val="20"/>
      <w:szCs w:val="20"/>
      <w:lang w:val="en-US"/>
      <w14:ligatures w14:val="none"/>
    </w:rPr>
  </w:style>
  <w:style w:type="paragraph" w:styleId="Revisione">
    <w:name w:val="Revision"/>
    <w:hidden/>
    <w:uiPriority w:val="99"/>
    <w:semiHidden/>
    <w:rsid w:val="00C37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614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1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DBDBDB"/>
                            <w:right w:val="none" w:sz="0" w:space="0" w:color="auto"/>
                          </w:divBdr>
                        </w:div>
                        <w:div w:id="12791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1233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2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1917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67191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621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3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bcbluebay.com/en-gb/people/polina-kurdyavk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Bogo</dc:creator>
  <cp:keywords/>
  <dc:description/>
  <cp:lastModifiedBy>Jacopo Bogo</cp:lastModifiedBy>
  <cp:revision>25</cp:revision>
  <dcterms:created xsi:type="dcterms:W3CDTF">2023-11-30T15:10:00Z</dcterms:created>
  <dcterms:modified xsi:type="dcterms:W3CDTF">2023-12-05T16:47:00Z</dcterms:modified>
</cp:coreProperties>
</file>