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87D8" w14:textId="7E00C1BE" w:rsidR="00EC2BE0" w:rsidRPr="00EB6A40" w:rsidRDefault="0005353E">
      <w:pPr>
        <w:rPr>
          <w:rFonts w:ascii="Calibri" w:hAnsi="Calibri" w:cs="Calibri"/>
          <w:b/>
          <w:bCs/>
        </w:rPr>
      </w:pPr>
      <w:r w:rsidRPr="00EB6A40">
        <w:rPr>
          <w:rFonts w:ascii="Calibri" w:hAnsi="Calibri" w:cs="Calibri"/>
          <w:b/>
          <w:bCs/>
        </w:rPr>
        <w:t>Amchor IS</w:t>
      </w:r>
      <w:r w:rsidR="001C1AF0">
        <w:rPr>
          <w:rFonts w:ascii="Calibri" w:hAnsi="Calibri" w:cs="Calibri"/>
          <w:b/>
          <w:bCs/>
        </w:rPr>
        <w:t xml:space="preserve"> -</w:t>
      </w:r>
      <w:r w:rsidRPr="00EB6A40">
        <w:rPr>
          <w:rFonts w:ascii="Calibri" w:hAnsi="Calibri" w:cs="Calibri"/>
          <w:b/>
          <w:bCs/>
        </w:rPr>
        <w:t xml:space="preserve"> </w:t>
      </w:r>
      <w:r w:rsidR="001C1AF0">
        <w:rPr>
          <w:rFonts w:ascii="Calibri" w:hAnsi="Calibri" w:cs="Calibri"/>
          <w:b/>
          <w:bCs/>
        </w:rPr>
        <w:t xml:space="preserve">Il </w:t>
      </w:r>
      <w:r w:rsidR="00285D27" w:rsidRPr="00EB6A40">
        <w:rPr>
          <w:rFonts w:ascii="Calibri" w:hAnsi="Calibri" w:cs="Calibri"/>
          <w:b/>
          <w:bCs/>
        </w:rPr>
        <w:t xml:space="preserve">2024 </w:t>
      </w:r>
      <w:r w:rsidR="001C1AF0">
        <w:rPr>
          <w:rFonts w:ascii="Calibri" w:hAnsi="Calibri" w:cs="Calibri"/>
          <w:b/>
          <w:bCs/>
        </w:rPr>
        <w:t xml:space="preserve">sembra </w:t>
      </w:r>
      <w:r w:rsidR="004D6FE2" w:rsidRPr="00EB6A40">
        <w:rPr>
          <w:rFonts w:ascii="Calibri" w:hAnsi="Calibri" w:cs="Calibri"/>
          <w:b/>
          <w:bCs/>
        </w:rPr>
        <w:t>favorevole a</w:t>
      </w:r>
      <w:r w:rsidR="00285D27" w:rsidRPr="00EB6A40">
        <w:rPr>
          <w:rFonts w:ascii="Calibri" w:hAnsi="Calibri" w:cs="Calibri"/>
          <w:b/>
          <w:bCs/>
        </w:rPr>
        <w:t>i mercati, ma attenzione a tre rischi</w:t>
      </w:r>
    </w:p>
    <w:p w14:paraId="61A914F9" w14:textId="64058986" w:rsidR="00285D27" w:rsidRPr="00EB6A40" w:rsidRDefault="00EB6A40" w:rsidP="0005353E">
      <w:pPr>
        <w:rPr>
          <w:rFonts w:ascii="Calibri" w:hAnsi="Calibri" w:cs="Calibri"/>
        </w:rPr>
      </w:pPr>
      <w:r w:rsidRPr="00EB6A40">
        <w:rPr>
          <w:rFonts w:ascii="Calibri" w:hAnsi="Calibri" w:cs="Calibri"/>
        </w:rPr>
        <w:t xml:space="preserve">A cura di </w:t>
      </w:r>
      <w:r w:rsidRPr="00EB6A40">
        <w:rPr>
          <w:rFonts w:ascii="Calibri" w:hAnsi="Calibri" w:cs="Calibri"/>
          <w:b/>
          <w:bCs/>
        </w:rPr>
        <w:t xml:space="preserve">Alvaro </w:t>
      </w:r>
      <w:proofErr w:type="spellStart"/>
      <w:r w:rsidRPr="00EB6A40">
        <w:rPr>
          <w:rFonts w:ascii="Calibri" w:hAnsi="Calibri" w:cs="Calibri"/>
          <w:b/>
          <w:bCs/>
        </w:rPr>
        <w:t>Sanmartin</w:t>
      </w:r>
      <w:proofErr w:type="spellEnd"/>
      <w:r w:rsidRPr="00EB6A40">
        <w:rPr>
          <w:rFonts w:ascii="Calibri" w:hAnsi="Calibri" w:cs="Calibri"/>
          <w:b/>
          <w:bCs/>
        </w:rPr>
        <w:t>, Chief Economist, Amchor IS</w:t>
      </w:r>
    </w:p>
    <w:p w14:paraId="43D43C0C" w14:textId="1344CA2C" w:rsidR="0005353E" w:rsidRPr="00EB6A40" w:rsidRDefault="00EB6A40" w:rsidP="0005353E">
      <w:pPr>
        <w:rPr>
          <w:rFonts w:ascii="Calibri" w:hAnsi="Calibri" w:cs="Calibri"/>
        </w:rPr>
      </w:pPr>
      <w:r w:rsidRPr="00EB6A40">
        <w:rPr>
          <w:rFonts w:ascii="Calibri" w:hAnsi="Calibri" w:cs="Calibri"/>
        </w:rPr>
        <w:br/>
      </w:r>
      <w:r w:rsidR="0005353E" w:rsidRPr="00EB6A40">
        <w:rPr>
          <w:rFonts w:ascii="Calibri" w:hAnsi="Calibri" w:cs="Calibri"/>
        </w:rPr>
        <w:t>I dati delle ultime settimane continuano a essere coerenti con il nostro scenario centrale. Gli Stati Uniti sembrano rallentare moderatamente</w:t>
      </w:r>
      <w:r w:rsidR="009004EA" w:rsidRPr="00EB6A40">
        <w:rPr>
          <w:rFonts w:ascii="Calibri" w:hAnsi="Calibri" w:cs="Calibri"/>
        </w:rPr>
        <w:t xml:space="preserve"> </w:t>
      </w:r>
      <w:r w:rsidR="0005353E" w:rsidRPr="00EB6A40">
        <w:rPr>
          <w:rFonts w:ascii="Calibri" w:hAnsi="Calibri" w:cs="Calibri"/>
        </w:rPr>
        <w:t>con una crescita in linea o leggermente inferiore al potenziale</w:t>
      </w:r>
      <w:r w:rsidR="004D6FE2" w:rsidRPr="00EB6A40">
        <w:rPr>
          <w:rFonts w:ascii="Calibri" w:hAnsi="Calibri" w:cs="Calibri"/>
        </w:rPr>
        <w:t xml:space="preserve">. </w:t>
      </w:r>
      <w:r w:rsidR="004D6FE2" w:rsidRPr="00EB6A40">
        <w:rPr>
          <w:rFonts w:ascii="Calibri" w:hAnsi="Calibri" w:cs="Calibri"/>
          <w:b/>
          <w:bCs/>
        </w:rPr>
        <w:t>L</w:t>
      </w:r>
      <w:r w:rsidR="0005353E" w:rsidRPr="00EB6A40">
        <w:rPr>
          <w:rFonts w:ascii="Calibri" w:hAnsi="Calibri" w:cs="Calibri"/>
          <w:b/>
          <w:bCs/>
        </w:rPr>
        <w:t>'attività economica nell'Eurozona continua a mostrare segni di stabilizzazione</w:t>
      </w:r>
      <w:r w:rsidR="004D6FE2" w:rsidRPr="00EB6A40">
        <w:rPr>
          <w:rFonts w:ascii="Calibri" w:hAnsi="Calibri" w:cs="Calibri"/>
          <w:b/>
          <w:bCs/>
        </w:rPr>
        <w:t>,</w:t>
      </w:r>
      <w:r w:rsidR="0005353E" w:rsidRPr="00EB6A40">
        <w:rPr>
          <w:rFonts w:ascii="Calibri" w:hAnsi="Calibri" w:cs="Calibri"/>
          <w:b/>
          <w:bCs/>
        </w:rPr>
        <w:t xml:space="preserve"> con un mercato del lavoro che rimane in buona form</w:t>
      </w:r>
      <w:r w:rsidR="004D6FE2" w:rsidRPr="00EB6A40">
        <w:rPr>
          <w:rFonts w:ascii="Calibri" w:hAnsi="Calibri" w:cs="Calibri"/>
          <w:b/>
          <w:bCs/>
        </w:rPr>
        <w:t>a.</w:t>
      </w:r>
      <w:r w:rsidR="0005353E" w:rsidRPr="00EB6A40">
        <w:rPr>
          <w:rFonts w:ascii="Calibri" w:hAnsi="Calibri" w:cs="Calibri"/>
          <w:b/>
          <w:bCs/>
        </w:rPr>
        <w:t xml:space="preserve"> </w:t>
      </w:r>
      <w:r w:rsidR="004D6FE2" w:rsidRPr="00EB6A40">
        <w:rPr>
          <w:rFonts w:ascii="Calibri" w:hAnsi="Calibri" w:cs="Calibri"/>
          <w:b/>
          <w:bCs/>
        </w:rPr>
        <w:t>L</w:t>
      </w:r>
      <w:r w:rsidR="0005353E" w:rsidRPr="00EB6A40">
        <w:rPr>
          <w:rFonts w:ascii="Calibri" w:hAnsi="Calibri" w:cs="Calibri"/>
          <w:b/>
          <w:bCs/>
        </w:rPr>
        <w:t>'inflazione di fondo sta scendendo sensibilmente su entrambe le sponde dell'Atlantico</w:t>
      </w:r>
      <w:r w:rsidR="004D6FE2" w:rsidRPr="00EB6A40">
        <w:rPr>
          <w:rFonts w:ascii="Calibri" w:hAnsi="Calibri" w:cs="Calibri"/>
          <w:b/>
          <w:bCs/>
        </w:rPr>
        <w:t>, mentre</w:t>
      </w:r>
      <w:r w:rsidR="0005353E" w:rsidRPr="00EB6A40">
        <w:rPr>
          <w:rFonts w:ascii="Calibri" w:hAnsi="Calibri" w:cs="Calibri"/>
          <w:b/>
          <w:bCs/>
        </w:rPr>
        <w:t xml:space="preserve"> le banche centrali </w:t>
      </w:r>
      <w:r w:rsidR="00285D27" w:rsidRPr="00EB6A40">
        <w:rPr>
          <w:rFonts w:ascii="Calibri" w:hAnsi="Calibri" w:cs="Calibri"/>
          <w:b/>
          <w:bCs/>
        </w:rPr>
        <w:t xml:space="preserve">stanno ribadendo che il loro piano è quello di </w:t>
      </w:r>
      <w:r w:rsidR="0005353E" w:rsidRPr="00EB6A40">
        <w:rPr>
          <w:rFonts w:ascii="Calibri" w:hAnsi="Calibri" w:cs="Calibri"/>
          <w:b/>
          <w:bCs/>
        </w:rPr>
        <w:t>non aumentare nuovamente i tassi in quest</w:t>
      </w:r>
      <w:r w:rsidR="004D6FE2" w:rsidRPr="00EB6A40">
        <w:rPr>
          <w:rFonts w:ascii="Calibri" w:hAnsi="Calibri" w:cs="Calibri"/>
          <w:b/>
          <w:bCs/>
        </w:rPr>
        <w:t>o</w:t>
      </w:r>
      <w:r w:rsidR="0005353E" w:rsidRPr="00EB6A40">
        <w:rPr>
          <w:rFonts w:ascii="Calibri" w:hAnsi="Calibri" w:cs="Calibri"/>
          <w:b/>
          <w:bCs/>
        </w:rPr>
        <w:t xml:space="preserve"> ciclo</w:t>
      </w:r>
      <w:r w:rsidR="004D6FE2" w:rsidRPr="00EB6A40">
        <w:rPr>
          <w:rFonts w:ascii="Calibri" w:hAnsi="Calibri" w:cs="Calibri"/>
        </w:rPr>
        <w:t>. L</w:t>
      </w:r>
      <w:r w:rsidR="0005353E" w:rsidRPr="00EB6A40">
        <w:rPr>
          <w:rFonts w:ascii="Calibri" w:hAnsi="Calibri" w:cs="Calibri"/>
        </w:rPr>
        <w:t>a Cina</w:t>
      </w:r>
      <w:r w:rsidR="004D6FE2" w:rsidRPr="00EB6A40">
        <w:rPr>
          <w:rFonts w:ascii="Calibri" w:hAnsi="Calibri" w:cs="Calibri"/>
        </w:rPr>
        <w:t xml:space="preserve">, </w:t>
      </w:r>
      <w:r w:rsidR="0005353E" w:rsidRPr="00EB6A40">
        <w:rPr>
          <w:rFonts w:ascii="Calibri" w:hAnsi="Calibri" w:cs="Calibri"/>
        </w:rPr>
        <w:t>nonostante il sentimento negativo prevalente</w:t>
      </w:r>
      <w:r w:rsidR="004D6FE2" w:rsidRPr="00EB6A40">
        <w:rPr>
          <w:rFonts w:ascii="Calibri" w:hAnsi="Calibri" w:cs="Calibri"/>
        </w:rPr>
        <w:t>,</w:t>
      </w:r>
      <w:r w:rsidR="0005353E" w:rsidRPr="00EB6A40">
        <w:rPr>
          <w:rFonts w:ascii="Calibri" w:hAnsi="Calibri" w:cs="Calibri"/>
        </w:rPr>
        <w:t xml:space="preserve"> continua a indicare tassi di crescita leggermente superiori al 5% nel 2023 (e forse anche nel 2024)</w:t>
      </w:r>
      <w:r w:rsidR="004D6FE2" w:rsidRPr="00EB6A40">
        <w:rPr>
          <w:rFonts w:ascii="Calibri" w:hAnsi="Calibri" w:cs="Calibri"/>
        </w:rPr>
        <w:t>.</w:t>
      </w:r>
      <w:r w:rsidR="0005353E" w:rsidRPr="00EB6A40">
        <w:rPr>
          <w:rFonts w:ascii="Calibri" w:hAnsi="Calibri" w:cs="Calibri"/>
        </w:rPr>
        <w:t xml:space="preserve"> </w:t>
      </w:r>
      <w:r w:rsidR="004D6FE2" w:rsidRPr="00EB6A40">
        <w:rPr>
          <w:rFonts w:ascii="Calibri" w:hAnsi="Calibri" w:cs="Calibri"/>
        </w:rPr>
        <w:t>I</w:t>
      </w:r>
      <w:r w:rsidR="0005353E" w:rsidRPr="00EB6A40">
        <w:rPr>
          <w:rFonts w:ascii="Calibri" w:hAnsi="Calibri" w:cs="Calibri"/>
        </w:rPr>
        <w:t>nfine, il mercato del lavoro giapponese conferma segnali di forza, creando così un contesto sempre più favorevole per i negoziati salariali che si svolgeranno all'inizio del prossimo anno.</w:t>
      </w:r>
    </w:p>
    <w:p w14:paraId="465EC168" w14:textId="4F4FB263" w:rsidR="0005353E" w:rsidRPr="00EB6A40" w:rsidRDefault="00285D27" w:rsidP="0005353E">
      <w:pPr>
        <w:rPr>
          <w:rFonts w:ascii="Calibri" w:hAnsi="Calibri" w:cs="Calibri"/>
          <w:u w:val="single"/>
        </w:rPr>
      </w:pPr>
      <w:r w:rsidRPr="00EB6A40">
        <w:rPr>
          <w:rFonts w:ascii="Calibri" w:hAnsi="Calibri" w:cs="Calibri"/>
          <w:u w:val="single"/>
        </w:rPr>
        <w:t>C</w:t>
      </w:r>
      <w:r w:rsidR="004D6FE2" w:rsidRPr="00EB6A40">
        <w:rPr>
          <w:rFonts w:ascii="Calibri" w:hAnsi="Calibri" w:cs="Calibri"/>
          <w:u w:val="single"/>
        </w:rPr>
        <w:t>ontesto favorevole agli asset rischiosi</w:t>
      </w:r>
      <w:r w:rsidRPr="00EB6A40">
        <w:rPr>
          <w:rFonts w:ascii="Calibri" w:hAnsi="Calibri" w:cs="Calibri"/>
          <w:u w:val="single"/>
        </w:rPr>
        <w:br/>
      </w:r>
      <w:r w:rsidR="004D6FE2" w:rsidRPr="00EB6A40">
        <w:rPr>
          <w:rFonts w:ascii="Calibri" w:hAnsi="Calibri" w:cs="Calibri"/>
          <w:b/>
          <w:bCs/>
        </w:rPr>
        <w:t>C</w:t>
      </w:r>
      <w:r w:rsidR="0005353E" w:rsidRPr="00EB6A40">
        <w:rPr>
          <w:rFonts w:ascii="Calibri" w:hAnsi="Calibri" w:cs="Calibri"/>
          <w:b/>
          <w:bCs/>
        </w:rPr>
        <w:t>i troviamo di fronte a un contesto favorevole per gli asset</w:t>
      </w:r>
      <w:r w:rsidR="00EB6A40" w:rsidRPr="00EB6A40">
        <w:rPr>
          <w:rFonts w:ascii="Calibri" w:hAnsi="Calibri" w:cs="Calibri"/>
          <w:b/>
          <w:bCs/>
        </w:rPr>
        <w:t xml:space="preserve"> rischiosi</w:t>
      </w:r>
      <w:r w:rsidR="0005353E" w:rsidRPr="00EB6A40">
        <w:rPr>
          <w:rFonts w:ascii="Calibri" w:hAnsi="Calibri" w:cs="Calibri"/>
          <w:b/>
          <w:bCs/>
        </w:rPr>
        <w:t>. In ogni caso, presteremo attenzione a tre principali fonti di rischio: il prezzo del greggio</w:t>
      </w:r>
      <w:r w:rsidR="0005353E" w:rsidRPr="00EB6A40">
        <w:rPr>
          <w:rFonts w:ascii="Calibri" w:hAnsi="Calibri" w:cs="Calibri"/>
        </w:rPr>
        <w:t xml:space="preserve">, nel caso in cui un eventuale rimbalzo del prezzo del </w:t>
      </w:r>
      <w:r w:rsidR="004D6FE2" w:rsidRPr="00EB6A40">
        <w:rPr>
          <w:rFonts w:ascii="Calibri" w:hAnsi="Calibri" w:cs="Calibri"/>
        </w:rPr>
        <w:t>petrolio</w:t>
      </w:r>
      <w:r w:rsidR="0005353E" w:rsidRPr="00EB6A40">
        <w:rPr>
          <w:rFonts w:ascii="Calibri" w:hAnsi="Calibri" w:cs="Calibri"/>
        </w:rPr>
        <w:t xml:space="preserve"> possa finire per disancorare le aspettative di inflazione; </w:t>
      </w:r>
      <w:r w:rsidR="0005353E" w:rsidRPr="00EB6A40">
        <w:rPr>
          <w:rFonts w:ascii="Calibri" w:hAnsi="Calibri" w:cs="Calibri"/>
          <w:b/>
          <w:bCs/>
        </w:rPr>
        <w:t>la situazione di bilancio di alcuni Paesi, nel caso in cui a un certo punto il mercato dovesse mostrare dubbi sulla sostenibilità del debito pubblico</w:t>
      </w:r>
      <w:r w:rsidR="0005353E" w:rsidRPr="00EB6A40">
        <w:rPr>
          <w:rFonts w:ascii="Calibri" w:hAnsi="Calibri" w:cs="Calibri"/>
        </w:rPr>
        <w:t xml:space="preserve">; </w:t>
      </w:r>
      <w:r w:rsidR="0005353E" w:rsidRPr="00EB6A40">
        <w:rPr>
          <w:rFonts w:ascii="Calibri" w:hAnsi="Calibri" w:cs="Calibri"/>
          <w:b/>
          <w:bCs/>
        </w:rPr>
        <w:t>e il livello di tensione delle condizioni finanziarie</w:t>
      </w:r>
      <w:r w:rsidRPr="00EB6A40">
        <w:rPr>
          <w:rFonts w:ascii="Calibri" w:hAnsi="Calibri" w:cs="Calibri"/>
        </w:rPr>
        <w:t>.</w:t>
      </w:r>
      <w:r w:rsidR="0005353E" w:rsidRPr="00EB6A40">
        <w:rPr>
          <w:rFonts w:ascii="Calibri" w:hAnsi="Calibri" w:cs="Calibri"/>
        </w:rPr>
        <w:t xml:space="preserve"> </w:t>
      </w:r>
      <w:r w:rsidRPr="00EB6A40">
        <w:rPr>
          <w:rFonts w:ascii="Calibri" w:hAnsi="Calibri" w:cs="Calibri"/>
        </w:rPr>
        <w:t>P</w:t>
      </w:r>
      <w:r w:rsidR="0005353E" w:rsidRPr="00EB6A40">
        <w:rPr>
          <w:rFonts w:ascii="Calibri" w:hAnsi="Calibri" w:cs="Calibri"/>
        </w:rPr>
        <w:t>aradossalmente, se il mercato diventasse troppo compiacente sui rischi inflazionistici e continuasse a prezzare un numero eccessivo di tagli dei tassi nei prossimi 12-18 mesi, potrebbe allentare eccessivamente le condizioni finanziarie</w:t>
      </w:r>
      <w:r w:rsidR="004D6FE2" w:rsidRPr="00EB6A40">
        <w:rPr>
          <w:rFonts w:ascii="Calibri" w:hAnsi="Calibri" w:cs="Calibri"/>
        </w:rPr>
        <w:t>.</w:t>
      </w:r>
      <w:r w:rsidR="0005353E" w:rsidRPr="00EB6A40">
        <w:rPr>
          <w:rFonts w:ascii="Calibri" w:hAnsi="Calibri" w:cs="Calibri"/>
        </w:rPr>
        <w:t xml:space="preserve"> </w:t>
      </w:r>
      <w:r w:rsidR="004D6FE2" w:rsidRPr="00EB6A40">
        <w:rPr>
          <w:rFonts w:ascii="Calibri" w:hAnsi="Calibri" w:cs="Calibri"/>
        </w:rPr>
        <w:t>L</w:t>
      </w:r>
      <w:r w:rsidR="0005353E" w:rsidRPr="00EB6A40">
        <w:rPr>
          <w:rFonts w:ascii="Calibri" w:hAnsi="Calibri" w:cs="Calibri"/>
        </w:rPr>
        <w:t xml:space="preserve">a probabile conseguenza sarebbe una </w:t>
      </w:r>
      <w:r w:rsidR="004D6FE2" w:rsidRPr="00EB6A40">
        <w:rPr>
          <w:rFonts w:ascii="Calibri" w:hAnsi="Calibri" w:cs="Calibri"/>
        </w:rPr>
        <w:t xml:space="preserve">nuova </w:t>
      </w:r>
      <w:r w:rsidR="0005353E" w:rsidRPr="00EB6A40">
        <w:rPr>
          <w:rFonts w:ascii="Calibri" w:hAnsi="Calibri" w:cs="Calibri"/>
        </w:rPr>
        <w:t>accelerazione dell'attività economica nel corso del 2024 e, molto probabilmente, anche una ripresa delle pressioni sui prezzi.</w:t>
      </w:r>
      <w:r w:rsidR="004D6FE2" w:rsidRPr="00EB6A40">
        <w:rPr>
          <w:rFonts w:ascii="Calibri" w:hAnsi="Calibri" w:cs="Calibri"/>
        </w:rPr>
        <w:t xml:space="preserve"> </w:t>
      </w:r>
      <w:r w:rsidR="0005353E" w:rsidRPr="00EB6A40">
        <w:rPr>
          <w:rFonts w:ascii="Calibri" w:hAnsi="Calibri" w:cs="Calibri"/>
        </w:rPr>
        <w:t>Inoltre, terremo d'occhio anche gli sviluppi della politica fiscale in Germania.</w:t>
      </w:r>
    </w:p>
    <w:p w14:paraId="7AB02C06" w14:textId="33EBB964" w:rsidR="003A7E98" w:rsidRPr="00EB6A40" w:rsidRDefault="001C1AF0" w:rsidP="00285D27">
      <w:pPr>
        <w:pStyle w:val="Default"/>
        <w:rPr>
          <w:rFonts w:ascii="Calibri" w:hAnsi="Calibri" w:cs="Calibri"/>
          <w:color w:val="auto"/>
          <w:sz w:val="22"/>
          <w:szCs w:val="22"/>
        </w:rPr>
      </w:pPr>
      <w:r>
        <w:rPr>
          <w:rFonts w:ascii="Calibri" w:hAnsi="Calibri" w:cs="Calibri"/>
          <w:color w:val="auto"/>
          <w:sz w:val="22"/>
          <w:szCs w:val="22"/>
        </w:rPr>
        <w:t>P</w:t>
      </w:r>
      <w:r w:rsidR="00122809" w:rsidRPr="00EB6A40">
        <w:rPr>
          <w:rFonts w:ascii="Calibri" w:hAnsi="Calibri" w:cs="Calibri"/>
          <w:color w:val="auto"/>
          <w:sz w:val="22"/>
          <w:szCs w:val="22"/>
        </w:rPr>
        <w:t>er farsi un</w:t>
      </w:r>
      <w:r>
        <w:rPr>
          <w:rFonts w:ascii="Calibri" w:hAnsi="Calibri" w:cs="Calibri"/>
          <w:color w:val="auto"/>
          <w:sz w:val="22"/>
          <w:szCs w:val="22"/>
        </w:rPr>
        <w:t>’</w:t>
      </w:r>
      <w:r w:rsidR="00122809" w:rsidRPr="00EB6A40">
        <w:rPr>
          <w:rFonts w:ascii="Calibri" w:hAnsi="Calibri" w:cs="Calibri"/>
          <w:color w:val="auto"/>
          <w:sz w:val="22"/>
          <w:szCs w:val="22"/>
        </w:rPr>
        <w:t>idea di quello che sarà l</w:t>
      </w:r>
      <w:r>
        <w:rPr>
          <w:rFonts w:ascii="Calibri" w:hAnsi="Calibri" w:cs="Calibri"/>
          <w:color w:val="auto"/>
          <w:sz w:val="22"/>
          <w:szCs w:val="22"/>
        </w:rPr>
        <w:t>’</w:t>
      </w:r>
      <w:r w:rsidR="00122809" w:rsidRPr="00EB6A40">
        <w:rPr>
          <w:rFonts w:ascii="Calibri" w:hAnsi="Calibri" w:cs="Calibri"/>
          <w:color w:val="auto"/>
          <w:sz w:val="22"/>
          <w:szCs w:val="22"/>
        </w:rPr>
        <w:t xml:space="preserve">ambiente macro e di mercato </w:t>
      </w:r>
      <w:r w:rsidR="004D6FE2" w:rsidRPr="00EB6A40">
        <w:rPr>
          <w:rFonts w:ascii="Calibri" w:hAnsi="Calibri" w:cs="Calibri"/>
          <w:color w:val="auto"/>
          <w:sz w:val="22"/>
          <w:szCs w:val="22"/>
        </w:rPr>
        <w:t>ne</w:t>
      </w:r>
      <w:r w:rsidR="00285D27" w:rsidRPr="00EB6A40">
        <w:rPr>
          <w:rFonts w:ascii="Calibri" w:hAnsi="Calibri" w:cs="Calibri"/>
          <w:color w:val="auto"/>
          <w:sz w:val="22"/>
          <w:szCs w:val="22"/>
        </w:rPr>
        <w:t>i prossimi mesi</w:t>
      </w:r>
      <w:r>
        <w:rPr>
          <w:rFonts w:ascii="Calibri" w:hAnsi="Calibri" w:cs="Calibri"/>
          <w:color w:val="auto"/>
          <w:sz w:val="22"/>
          <w:szCs w:val="22"/>
        </w:rPr>
        <w:t xml:space="preserve"> ci sono tre elementi che riteniamo importate tenere sotto osservazione</w:t>
      </w:r>
      <w:r w:rsidR="00122809" w:rsidRPr="00EB6A40">
        <w:rPr>
          <w:rFonts w:ascii="Calibri" w:hAnsi="Calibri" w:cs="Calibri"/>
          <w:color w:val="auto"/>
          <w:sz w:val="22"/>
          <w:szCs w:val="22"/>
        </w:rPr>
        <w:t>.</w:t>
      </w:r>
      <w:r w:rsidR="00285D27" w:rsidRPr="00EB6A40">
        <w:rPr>
          <w:rFonts w:ascii="Calibri" w:hAnsi="Calibri" w:cs="Calibri"/>
          <w:color w:val="auto"/>
          <w:sz w:val="22"/>
          <w:szCs w:val="22"/>
        </w:rPr>
        <w:t xml:space="preserve"> </w:t>
      </w:r>
      <w:r w:rsidR="004D6FE2" w:rsidRPr="00EB6A40">
        <w:rPr>
          <w:rFonts w:ascii="Calibri" w:hAnsi="Calibri" w:cs="Calibri"/>
          <w:sz w:val="22"/>
          <w:szCs w:val="22"/>
        </w:rPr>
        <w:t xml:space="preserve">Primo: a </w:t>
      </w:r>
      <w:r w:rsidR="00122809" w:rsidRPr="00EB6A40">
        <w:rPr>
          <w:rFonts w:ascii="Calibri" w:hAnsi="Calibri" w:cs="Calibri"/>
          <w:color w:val="auto"/>
          <w:sz w:val="22"/>
          <w:szCs w:val="22"/>
        </w:rPr>
        <w:t xml:space="preserve">meno che le condizioni finanziarie non si allentino eccessivamente, </w:t>
      </w:r>
      <w:r w:rsidR="00122809" w:rsidRPr="00EB6A40">
        <w:rPr>
          <w:rFonts w:ascii="Calibri" w:hAnsi="Calibri" w:cs="Calibri"/>
          <w:b/>
          <w:bCs/>
          <w:color w:val="auto"/>
          <w:sz w:val="22"/>
          <w:szCs w:val="22"/>
        </w:rPr>
        <w:t>è probabile che la crescita nell'Unione Europea si moderi nei prossimi mesi, fino a raggiungere tassi in linea o leggermente inferiori al potenziale. Continuiamo</w:t>
      </w:r>
      <w:r w:rsidR="00285D27" w:rsidRPr="00EB6A40">
        <w:rPr>
          <w:rFonts w:ascii="Calibri" w:hAnsi="Calibri" w:cs="Calibri"/>
          <w:b/>
          <w:bCs/>
          <w:color w:val="auto"/>
          <w:sz w:val="22"/>
          <w:szCs w:val="22"/>
        </w:rPr>
        <w:t>, invece,</w:t>
      </w:r>
      <w:r w:rsidR="00122809" w:rsidRPr="00EB6A40">
        <w:rPr>
          <w:rFonts w:ascii="Calibri" w:hAnsi="Calibri" w:cs="Calibri"/>
          <w:b/>
          <w:bCs/>
          <w:color w:val="auto"/>
          <w:sz w:val="22"/>
          <w:szCs w:val="22"/>
        </w:rPr>
        <w:t xml:space="preserve"> a vedere una certa robustezza e</w:t>
      </w:r>
      <w:r w:rsidR="00285D27" w:rsidRPr="00EB6A40">
        <w:rPr>
          <w:rFonts w:ascii="Calibri" w:hAnsi="Calibri" w:cs="Calibri"/>
          <w:b/>
          <w:bCs/>
          <w:color w:val="auto"/>
          <w:sz w:val="22"/>
          <w:szCs w:val="22"/>
        </w:rPr>
        <w:t xml:space="preserve"> </w:t>
      </w:r>
      <w:r w:rsidR="00122809" w:rsidRPr="00EB6A40">
        <w:rPr>
          <w:rFonts w:ascii="Calibri" w:hAnsi="Calibri" w:cs="Calibri"/>
          <w:b/>
          <w:bCs/>
          <w:color w:val="auto"/>
          <w:sz w:val="22"/>
          <w:szCs w:val="22"/>
        </w:rPr>
        <w:t>a ritenere poco probabile una recessione dell'economia statunitense nel breve periodo</w:t>
      </w:r>
      <w:r w:rsidR="00122809" w:rsidRPr="00EB6A40">
        <w:rPr>
          <w:rFonts w:ascii="Calibri" w:hAnsi="Calibri" w:cs="Calibri"/>
          <w:color w:val="auto"/>
          <w:sz w:val="22"/>
          <w:szCs w:val="22"/>
        </w:rPr>
        <w:t>.</w:t>
      </w:r>
      <w:r w:rsidR="004D6FE2" w:rsidRPr="00EB6A40">
        <w:rPr>
          <w:rFonts w:ascii="Calibri" w:hAnsi="Calibri" w:cs="Calibri"/>
          <w:sz w:val="22"/>
          <w:szCs w:val="22"/>
        </w:rPr>
        <w:t xml:space="preserve"> </w:t>
      </w:r>
      <w:r w:rsidR="005119C4" w:rsidRPr="00EB6A40">
        <w:rPr>
          <w:rFonts w:ascii="Calibri" w:hAnsi="Calibri" w:cs="Calibri"/>
          <w:color w:val="auto"/>
          <w:sz w:val="22"/>
          <w:szCs w:val="22"/>
        </w:rPr>
        <w:t>Second</w:t>
      </w:r>
      <w:r w:rsidR="004D6FE2" w:rsidRPr="00EB6A40">
        <w:rPr>
          <w:rFonts w:ascii="Calibri" w:hAnsi="Calibri" w:cs="Calibri"/>
          <w:sz w:val="22"/>
          <w:szCs w:val="22"/>
        </w:rPr>
        <w:t>o</w:t>
      </w:r>
      <w:r w:rsidR="005119C4" w:rsidRPr="00EB6A40">
        <w:rPr>
          <w:rFonts w:ascii="Calibri" w:hAnsi="Calibri" w:cs="Calibri"/>
          <w:color w:val="auto"/>
          <w:sz w:val="22"/>
          <w:szCs w:val="22"/>
        </w:rPr>
        <w:t>: i dati macroeconomici dell'Eurozona continuano a mostrare segni di stabilizzazione e aprono la porta, a nostro avviso, a quella che potrebbe essere una crescita superiore all'1% nel 2024</w:t>
      </w:r>
      <w:r w:rsidR="004D6FE2" w:rsidRPr="00EB6A40">
        <w:rPr>
          <w:rFonts w:ascii="Calibri" w:hAnsi="Calibri" w:cs="Calibri"/>
          <w:sz w:val="22"/>
          <w:szCs w:val="22"/>
        </w:rPr>
        <w:t>. T</w:t>
      </w:r>
      <w:r w:rsidR="00AF4474" w:rsidRPr="00EB6A40">
        <w:rPr>
          <w:rFonts w:ascii="Calibri" w:hAnsi="Calibri" w:cs="Calibri"/>
          <w:color w:val="auto"/>
          <w:sz w:val="22"/>
          <w:szCs w:val="22"/>
        </w:rPr>
        <w:t>erz</w:t>
      </w:r>
      <w:r w:rsidR="004D6FE2" w:rsidRPr="00EB6A40">
        <w:rPr>
          <w:rFonts w:ascii="Calibri" w:hAnsi="Calibri" w:cs="Calibri"/>
          <w:sz w:val="22"/>
          <w:szCs w:val="22"/>
        </w:rPr>
        <w:t>o</w:t>
      </w:r>
      <w:r w:rsidR="00AF4474" w:rsidRPr="00EB6A40">
        <w:rPr>
          <w:rFonts w:ascii="Calibri" w:hAnsi="Calibri" w:cs="Calibri"/>
          <w:color w:val="auto"/>
          <w:sz w:val="22"/>
          <w:szCs w:val="22"/>
        </w:rPr>
        <w:t xml:space="preserve">: in prospettiva, </w:t>
      </w:r>
      <w:r w:rsidR="00AF4474" w:rsidRPr="00EB6A40">
        <w:rPr>
          <w:rFonts w:ascii="Calibri" w:hAnsi="Calibri" w:cs="Calibri"/>
          <w:b/>
          <w:bCs/>
          <w:color w:val="auto"/>
          <w:sz w:val="22"/>
          <w:szCs w:val="22"/>
        </w:rPr>
        <w:t>l'inflazione di fondo dovrebbe continuare a scendere sensibilmente</w:t>
      </w:r>
      <w:r w:rsidR="00285D27" w:rsidRPr="00EB6A40">
        <w:rPr>
          <w:rFonts w:ascii="Calibri" w:hAnsi="Calibri" w:cs="Calibri"/>
          <w:b/>
          <w:bCs/>
          <w:color w:val="auto"/>
          <w:sz w:val="22"/>
          <w:szCs w:val="22"/>
        </w:rPr>
        <w:t xml:space="preserve"> </w:t>
      </w:r>
      <w:proofErr w:type="spellStart"/>
      <w:r w:rsidR="00AF4474" w:rsidRPr="00EB6A40">
        <w:rPr>
          <w:rFonts w:ascii="Calibri" w:hAnsi="Calibri" w:cs="Calibri"/>
          <w:b/>
          <w:bCs/>
          <w:color w:val="auto"/>
          <w:sz w:val="22"/>
          <w:szCs w:val="22"/>
        </w:rPr>
        <w:t>sensibilmente</w:t>
      </w:r>
      <w:proofErr w:type="spellEnd"/>
      <w:r w:rsidR="00AF4474" w:rsidRPr="00EB6A40">
        <w:rPr>
          <w:rFonts w:ascii="Calibri" w:hAnsi="Calibri" w:cs="Calibri"/>
          <w:b/>
          <w:bCs/>
          <w:color w:val="auto"/>
          <w:sz w:val="22"/>
          <w:szCs w:val="22"/>
        </w:rPr>
        <w:t xml:space="preserve"> sia negli Stati Uniti</w:t>
      </w:r>
      <w:r w:rsidR="00285D27" w:rsidRPr="00EB6A40">
        <w:rPr>
          <w:rFonts w:ascii="Calibri" w:hAnsi="Calibri" w:cs="Calibri"/>
          <w:b/>
          <w:bCs/>
          <w:color w:val="auto"/>
          <w:sz w:val="22"/>
          <w:szCs w:val="22"/>
        </w:rPr>
        <w:t xml:space="preserve"> sia nell’</w:t>
      </w:r>
      <w:r>
        <w:rPr>
          <w:rFonts w:ascii="Calibri" w:hAnsi="Calibri" w:cs="Calibri"/>
          <w:b/>
          <w:bCs/>
          <w:color w:val="auto"/>
          <w:sz w:val="22"/>
          <w:szCs w:val="22"/>
        </w:rPr>
        <w:t>E</w:t>
      </w:r>
      <w:r w:rsidR="00285D27" w:rsidRPr="00EB6A40">
        <w:rPr>
          <w:rFonts w:ascii="Calibri" w:hAnsi="Calibri" w:cs="Calibri"/>
          <w:b/>
          <w:bCs/>
          <w:color w:val="auto"/>
          <w:sz w:val="22"/>
          <w:szCs w:val="22"/>
        </w:rPr>
        <w:t>urozona</w:t>
      </w:r>
      <w:r w:rsidR="00285D27" w:rsidRPr="00EB6A40">
        <w:rPr>
          <w:rFonts w:ascii="Calibri" w:hAnsi="Calibri" w:cs="Calibri"/>
          <w:sz w:val="22"/>
          <w:szCs w:val="22"/>
        </w:rPr>
        <w:t>,</w:t>
      </w:r>
      <w:r w:rsidR="00AF4474" w:rsidRPr="00EB6A40">
        <w:rPr>
          <w:rFonts w:ascii="Calibri" w:hAnsi="Calibri" w:cs="Calibri"/>
          <w:color w:val="auto"/>
          <w:sz w:val="22"/>
          <w:szCs w:val="22"/>
        </w:rPr>
        <w:t xml:space="preserve"> a patto che</w:t>
      </w:r>
      <w:r w:rsidR="004D6FE2" w:rsidRPr="00EB6A40">
        <w:rPr>
          <w:rFonts w:ascii="Calibri" w:hAnsi="Calibri" w:cs="Calibri"/>
          <w:sz w:val="22"/>
          <w:szCs w:val="22"/>
        </w:rPr>
        <w:t xml:space="preserve"> </w:t>
      </w:r>
      <w:r w:rsidR="00AF4474" w:rsidRPr="00EB6A40">
        <w:rPr>
          <w:rFonts w:ascii="Calibri" w:hAnsi="Calibri" w:cs="Calibri"/>
          <w:color w:val="auto"/>
          <w:sz w:val="22"/>
          <w:szCs w:val="22"/>
        </w:rPr>
        <w:t xml:space="preserve">le condizioni finanziarie rimangano </w:t>
      </w:r>
      <w:r w:rsidR="00285D27" w:rsidRPr="00EB6A40">
        <w:rPr>
          <w:rFonts w:ascii="Calibri" w:hAnsi="Calibri" w:cs="Calibri"/>
          <w:color w:val="auto"/>
          <w:sz w:val="22"/>
          <w:szCs w:val="22"/>
        </w:rPr>
        <w:t>piuttosto</w:t>
      </w:r>
      <w:r w:rsidR="00AF4474" w:rsidRPr="00EB6A40">
        <w:rPr>
          <w:rFonts w:ascii="Calibri" w:hAnsi="Calibri" w:cs="Calibri"/>
          <w:color w:val="auto"/>
          <w:sz w:val="22"/>
          <w:szCs w:val="22"/>
        </w:rPr>
        <w:t xml:space="preserve"> rigide per un certo periodo di tempo </w:t>
      </w:r>
      <w:r w:rsidR="00285D27" w:rsidRPr="00EB6A40">
        <w:rPr>
          <w:rFonts w:ascii="Calibri" w:hAnsi="Calibri" w:cs="Calibri"/>
          <w:color w:val="auto"/>
          <w:sz w:val="22"/>
          <w:szCs w:val="22"/>
        </w:rPr>
        <w:t xml:space="preserve">sufficientemente </w:t>
      </w:r>
      <w:r w:rsidR="00AF4474" w:rsidRPr="00EB6A40">
        <w:rPr>
          <w:rFonts w:ascii="Calibri" w:hAnsi="Calibri" w:cs="Calibri"/>
          <w:color w:val="auto"/>
          <w:sz w:val="22"/>
          <w:szCs w:val="22"/>
        </w:rPr>
        <w:t>lungo.</w:t>
      </w:r>
      <w:r w:rsidR="004D6FE2" w:rsidRPr="00EB6A40">
        <w:rPr>
          <w:rFonts w:ascii="Calibri" w:hAnsi="Calibri" w:cs="Calibri"/>
          <w:sz w:val="22"/>
          <w:szCs w:val="22"/>
        </w:rPr>
        <w:t xml:space="preserve"> </w:t>
      </w:r>
      <w:r w:rsidR="003A7E98" w:rsidRPr="00EB6A40">
        <w:rPr>
          <w:rFonts w:ascii="Calibri" w:hAnsi="Calibri" w:cs="Calibri"/>
          <w:color w:val="auto"/>
          <w:sz w:val="22"/>
          <w:szCs w:val="22"/>
        </w:rPr>
        <w:t>Quar</w:t>
      </w:r>
      <w:r w:rsidR="00285D27" w:rsidRPr="00EB6A40">
        <w:rPr>
          <w:rFonts w:ascii="Calibri" w:hAnsi="Calibri" w:cs="Calibri"/>
          <w:color w:val="auto"/>
          <w:sz w:val="22"/>
          <w:szCs w:val="22"/>
        </w:rPr>
        <w:t>to</w:t>
      </w:r>
      <w:r w:rsidR="004D6FE2" w:rsidRPr="00EB6A40">
        <w:rPr>
          <w:rFonts w:ascii="Calibri" w:hAnsi="Calibri" w:cs="Calibri"/>
          <w:sz w:val="22"/>
          <w:szCs w:val="22"/>
        </w:rPr>
        <w:t>:</w:t>
      </w:r>
      <w:r w:rsidR="003A7E98" w:rsidRPr="00EB6A40">
        <w:rPr>
          <w:rFonts w:ascii="Calibri" w:hAnsi="Calibri" w:cs="Calibri"/>
          <w:color w:val="auto"/>
          <w:sz w:val="22"/>
          <w:szCs w:val="22"/>
        </w:rPr>
        <w:t xml:space="preserve"> a meno di sorprese al rialzo dell'inflazione, </w:t>
      </w:r>
      <w:r w:rsidR="003A7E98" w:rsidRPr="006D7A4E">
        <w:rPr>
          <w:rFonts w:ascii="Calibri" w:hAnsi="Calibri" w:cs="Calibri"/>
          <w:b/>
          <w:bCs/>
          <w:color w:val="auto"/>
          <w:sz w:val="22"/>
          <w:szCs w:val="22"/>
        </w:rPr>
        <w:t xml:space="preserve">non vedremo altri rialzi dei tassi in questo ciclo né da parte della Fed né da parte della </w:t>
      </w:r>
      <w:r w:rsidR="00285D27" w:rsidRPr="006D7A4E">
        <w:rPr>
          <w:rFonts w:ascii="Calibri" w:hAnsi="Calibri" w:cs="Calibri"/>
          <w:b/>
          <w:bCs/>
          <w:color w:val="auto"/>
          <w:sz w:val="22"/>
          <w:szCs w:val="22"/>
        </w:rPr>
        <w:t>B</w:t>
      </w:r>
      <w:r>
        <w:rPr>
          <w:rFonts w:ascii="Calibri" w:hAnsi="Calibri" w:cs="Calibri"/>
          <w:b/>
          <w:bCs/>
          <w:color w:val="auto"/>
          <w:sz w:val="22"/>
          <w:szCs w:val="22"/>
        </w:rPr>
        <w:t>ce</w:t>
      </w:r>
      <w:r w:rsidR="003A7E98" w:rsidRPr="00EB6A40">
        <w:rPr>
          <w:rFonts w:ascii="Calibri" w:hAnsi="Calibri" w:cs="Calibri"/>
          <w:color w:val="auto"/>
          <w:sz w:val="22"/>
          <w:szCs w:val="22"/>
        </w:rPr>
        <w:t xml:space="preserve">. </w:t>
      </w:r>
      <w:r w:rsidR="00EB6A40" w:rsidRPr="00EB6A40">
        <w:rPr>
          <w:rFonts w:ascii="Calibri" w:hAnsi="Calibri" w:cs="Calibri"/>
          <w:color w:val="auto"/>
          <w:sz w:val="22"/>
          <w:szCs w:val="22"/>
        </w:rPr>
        <w:t>R</w:t>
      </w:r>
      <w:r w:rsidR="003A7E98" w:rsidRPr="00EB6A40">
        <w:rPr>
          <w:rFonts w:ascii="Calibri" w:hAnsi="Calibri" w:cs="Calibri"/>
          <w:color w:val="auto"/>
          <w:sz w:val="22"/>
          <w:szCs w:val="22"/>
        </w:rPr>
        <w:t>iteniamo essenziale che le autorità monetarie mostrino particolare attenzione alla loro comunicazione d'ora in poi, per cercare di evitare che i mercati finanziari prezzino un numero eccessivo di tagli dei tassi nei prossimi 12 mesi.</w:t>
      </w:r>
      <w:r w:rsidR="00285D27" w:rsidRPr="00EB6A40">
        <w:rPr>
          <w:rFonts w:ascii="Calibri" w:hAnsi="Calibri" w:cs="Calibri"/>
          <w:color w:val="auto"/>
          <w:sz w:val="22"/>
          <w:szCs w:val="22"/>
        </w:rPr>
        <w:br/>
      </w:r>
    </w:p>
    <w:p w14:paraId="1E574320" w14:textId="01851E58" w:rsidR="003A7E98" w:rsidRPr="00EB6A40" w:rsidRDefault="00285D27" w:rsidP="003A7E98">
      <w:pPr>
        <w:rPr>
          <w:rFonts w:ascii="Calibri" w:hAnsi="Calibri" w:cs="Calibri"/>
        </w:rPr>
      </w:pPr>
      <w:r w:rsidRPr="00EB6A40">
        <w:rPr>
          <w:rFonts w:ascii="Calibri" w:hAnsi="Calibri" w:cs="Calibri"/>
          <w:u w:val="single"/>
        </w:rPr>
        <w:t>View di mercato</w:t>
      </w:r>
      <w:r w:rsidRPr="00EB6A40">
        <w:rPr>
          <w:rFonts w:ascii="Calibri" w:hAnsi="Calibri" w:cs="Calibri"/>
          <w:u w:val="single"/>
        </w:rPr>
        <w:br/>
      </w:r>
      <w:r w:rsidR="003A7E98" w:rsidRPr="00EB6A40">
        <w:rPr>
          <w:rFonts w:ascii="Calibri" w:hAnsi="Calibri" w:cs="Calibri"/>
          <w:b/>
          <w:bCs/>
        </w:rPr>
        <w:t>Titoli di Stato:</w:t>
      </w:r>
      <w:r w:rsidR="003A7E98" w:rsidRPr="00EB6A40">
        <w:rPr>
          <w:rFonts w:ascii="Calibri" w:hAnsi="Calibri" w:cs="Calibri"/>
        </w:rPr>
        <w:t xml:space="preserve"> nel corso del mese di novembre, le curve dei rendimenti degli Stati Uniti e dell'area euro hanno corretto una parte non trascurabile del forte movimento al rialzo in atto dal</w:t>
      </w:r>
      <w:r w:rsidR="000648A3">
        <w:rPr>
          <w:rFonts w:ascii="Calibri" w:hAnsi="Calibri" w:cs="Calibri"/>
        </w:rPr>
        <w:t xml:space="preserve">la scorsa </w:t>
      </w:r>
      <w:r w:rsidR="003A7E98" w:rsidRPr="00EB6A40">
        <w:rPr>
          <w:rFonts w:ascii="Calibri" w:hAnsi="Calibri" w:cs="Calibri"/>
        </w:rPr>
        <w:t xml:space="preserve">estate. A nostro avviso, </w:t>
      </w:r>
      <w:r w:rsidR="003A7E98" w:rsidRPr="005D78AB">
        <w:rPr>
          <w:rFonts w:ascii="Calibri" w:hAnsi="Calibri" w:cs="Calibri"/>
          <w:b/>
          <w:bCs/>
        </w:rPr>
        <w:t>non c'è molto spazio perché i tassi medi e lunghi scendano ulteriormente</w:t>
      </w:r>
      <w:r w:rsidR="003A7E98" w:rsidRPr="00EB6A40">
        <w:rPr>
          <w:rFonts w:ascii="Calibri" w:hAnsi="Calibri" w:cs="Calibri"/>
        </w:rPr>
        <w:t xml:space="preserve"> e in modo apprezzabile dai livelli di inizio dicembre</w:t>
      </w:r>
      <w:r w:rsidRPr="00EB6A40">
        <w:rPr>
          <w:rFonts w:ascii="Calibri" w:hAnsi="Calibri" w:cs="Calibri"/>
        </w:rPr>
        <w:t xml:space="preserve">. </w:t>
      </w:r>
      <w:r w:rsidR="003A7E98" w:rsidRPr="00EB6A40">
        <w:rPr>
          <w:rFonts w:ascii="Calibri" w:hAnsi="Calibri" w:cs="Calibri"/>
        </w:rPr>
        <w:t>Alla luce di quanto detto, preferiamo puntare sulla parte breve delle curve sia negli Stati Uniti che, in modo ancora più evidente, nell'area euro.</w:t>
      </w:r>
      <w:r w:rsidRPr="00EB6A40">
        <w:rPr>
          <w:rFonts w:ascii="Calibri" w:hAnsi="Calibri" w:cs="Calibri"/>
        </w:rPr>
        <w:t xml:space="preserve"> </w:t>
      </w:r>
      <w:r w:rsidR="003A7E98" w:rsidRPr="00EB6A40">
        <w:rPr>
          <w:rFonts w:ascii="Calibri" w:hAnsi="Calibri" w:cs="Calibri"/>
        </w:rPr>
        <w:t>Per quanto riguarda il Giappone, la nostra previsione rimane che il rendimento a 10 anni tenderà a salire sensibilmente tra 6-9 mesi.</w:t>
      </w:r>
    </w:p>
    <w:p w14:paraId="479310A8" w14:textId="75FA3757" w:rsidR="003A7E98" w:rsidRPr="00EB6A40" w:rsidRDefault="003A7E98" w:rsidP="003A7E98">
      <w:pPr>
        <w:rPr>
          <w:rFonts w:ascii="Calibri" w:hAnsi="Calibri" w:cs="Calibri"/>
        </w:rPr>
      </w:pPr>
      <w:r w:rsidRPr="00EB6A40">
        <w:rPr>
          <w:rFonts w:ascii="Calibri" w:hAnsi="Calibri" w:cs="Calibri"/>
          <w:b/>
          <w:bCs/>
        </w:rPr>
        <w:t>Azioni:</w:t>
      </w:r>
      <w:r w:rsidRPr="00EB6A40">
        <w:rPr>
          <w:rFonts w:ascii="Calibri" w:hAnsi="Calibri" w:cs="Calibri"/>
        </w:rPr>
        <w:t xml:space="preserve"> poiché la macroeconomia negli Stati Uniti e in Europa </w:t>
      </w:r>
      <w:r w:rsidR="00D378A0">
        <w:rPr>
          <w:rFonts w:ascii="Calibri" w:hAnsi="Calibri" w:cs="Calibri"/>
        </w:rPr>
        <w:t>dovrebbe evitare</w:t>
      </w:r>
      <w:r w:rsidRPr="00EB6A40">
        <w:rPr>
          <w:rFonts w:ascii="Calibri" w:hAnsi="Calibri" w:cs="Calibri"/>
        </w:rPr>
        <w:t xml:space="preserve"> la recessione</w:t>
      </w:r>
      <w:r w:rsidR="00D378A0">
        <w:rPr>
          <w:rFonts w:ascii="Calibri" w:hAnsi="Calibri" w:cs="Calibri"/>
        </w:rPr>
        <w:t>,</w:t>
      </w:r>
      <w:r w:rsidRPr="00EB6A40">
        <w:rPr>
          <w:rFonts w:ascii="Calibri" w:hAnsi="Calibri" w:cs="Calibri"/>
        </w:rPr>
        <w:t xml:space="preserve"> in un contesto </w:t>
      </w:r>
      <w:r w:rsidR="00D378A0">
        <w:rPr>
          <w:rFonts w:ascii="Calibri" w:hAnsi="Calibri" w:cs="Calibri"/>
        </w:rPr>
        <w:t>d</w:t>
      </w:r>
      <w:r w:rsidRPr="00EB6A40">
        <w:rPr>
          <w:rFonts w:ascii="Calibri" w:hAnsi="Calibri" w:cs="Calibri"/>
        </w:rPr>
        <w:t xml:space="preserve">i tassi reali </w:t>
      </w:r>
      <w:r w:rsidR="00D378A0">
        <w:rPr>
          <w:rFonts w:ascii="Calibri" w:hAnsi="Calibri" w:cs="Calibri"/>
        </w:rPr>
        <w:t xml:space="preserve">che resteranno </w:t>
      </w:r>
      <w:r w:rsidRPr="00EB6A40">
        <w:rPr>
          <w:rFonts w:ascii="Calibri" w:hAnsi="Calibri" w:cs="Calibri"/>
        </w:rPr>
        <w:t xml:space="preserve">ragionevolmente elevati su base strutturale, continuiamo a ritenere che il </w:t>
      </w:r>
      <w:r w:rsidRPr="005D78AB">
        <w:rPr>
          <w:rFonts w:ascii="Calibri" w:hAnsi="Calibri" w:cs="Calibri"/>
          <w:b/>
          <w:bCs/>
        </w:rPr>
        <w:t xml:space="preserve">segmento di mercato </w:t>
      </w:r>
      <w:proofErr w:type="spellStart"/>
      <w:r w:rsidRPr="005D78AB">
        <w:rPr>
          <w:rFonts w:ascii="Calibri" w:hAnsi="Calibri" w:cs="Calibri"/>
          <w:b/>
          <w:bCs/>
        </w:rPr>
        <w:t>value</w:t>
      </w:r>
      <w:proofErr w:type="spellEnd"/>
      <w:r w:rsidRPr="005D78AB">
        <w:rPr>
          <w:rFonts w:ascii="Calibri" w:hAnsi="Calibri" w:cs="Calibri"/>
          <w:b/>
          <w:bCs/>
        </w:rPr>
        <w:t xml:space="preserve">/ciclico (comprese le banche europee) </w:t>
      </w:r>
      <w:r w:rsidR="00D378A0" w:rsidRPr="005D78AB">
        <w:rPr>
          <w:rFonts w:ascii="Calibri" w:hAnsi="Calibri" w:cs="Calibri"/>
          <w:b/>
          <w:bCs/>
        </w:rPr>
        <w:t>pot</w:t>
      </w:r>
      <w:r w:rsidRPr="005D78AB">
        <w:rPr>
          <w:rFonts w:ascii="Calibri" w:hAnsi="Calibri" w:cs="Calibri"/>
          <w:b/>
          <w:bCs/>
        </w:rPr>
        <w:t xml:space="preserve">rebbe fare meglio di quello </w:t>
      </w:r>
      <w:r w:rsidRPr="005D78AB">
        <w:rPr>
          <w:rFonts w:ascii="Calibri" w:hAnsi="Calibri" w:cs="Calibri"/>
          <w:b/>
          <w:bCs/>
        </w:rPr>
        <w:lastRenderedPageBreak/>
        <w:t>growth/difensivo</w:t>
      </w:r>
      <w:r w:rsidRPr="00EB6A40">
        <w:rPr>
          <w:rFonts w:ascii="Calibri" w:hAnsi="Calibri" w:cs="Calibri"/>
        </w:rPr>
        <w:t xml:space="preserve">. Dal punto di vista geografico, </w:t>
      </w:r>
      <w:r w:rsidRPr="005D78AB">
        <w:rPr>
          <w:rFonts w:ascii="Calibri" w:hAnsi="Calibri" w:cs="Calibri"/>
          <w:b/>
          <w:bCs/>
        </w:rPr>
        <w:t>preferiamo i mercati europei e asiatici a quelli statunitensi</w:t>
      </w:r>
      <w:r w:rsidRPr="00EB6A40">
        <w:rPr>
          <w:rFonts w:ascii="Calibri" w:hAnsi="Calibri" w:cs="Calibri"/>
        </w:rPr>
        <w:t>.</w:t>
      </w:r>
    </w:p>
    <w:p w14:paraId="6E7F323E" w14:textId="28A6F70D" w:rsidR="003A7E98" w:rsidRPr="00EB6A40" w:rsidRDefault="003A7E98" w:rsidP="003A7E98">
      <w:pPr>
        <w:rPr>
          <w:rFonts w:ascii="Calibri" w:hAnsi="Calibri" w:cs="Calibri"/>
        </w:rPr>
      </w:pPr>
      <w:r w:rsidRPr="00EB6A40">
        <w:rPr>
          <w:rFonts w:ascii="Calibri" w:hAnsi="Calibri" w:cs="Calibri"/>
          <w:b/>
          <w:bCs/>
        </w:rPr>
        <w:t>Credito:</w:t>
      </w:r>
      <w:r w:rsidRPr="00EB6A40">
        <w:rPr>
          <w:rFonts w:ascii="Calibri" w:hAnsi="Calibri" w:cs="Calibri"/>
        </w:rPr>
        <w:t xml:space="preserve"> </w:t>
      </w:r>
      <w:r w:rsidRPr="005D78AB">
        <w:rPr>
          <w:rFonts w:ascii="Calibri" w:hAnsi="Calibri" w:cs="Calibri"/>
          <w:b/>
          <w:bCs/>
        </w:rPr>
        <w:t>continuiamo a preferire le obbligazioni societarie</w:t>
      </w:r>
      <w:r w:rsidRPr="00EB6A40">
        <w:rPr>
          <w:rFonts w:ascii="Calibri" w:hAnsi="Calibri" w:cs="Calibri"/>
        </w:rPr>
        <w:t xml:space="preserve"> perché nel nostro scenario i tassi di default non dovrebbero aumentare troppo. In ogni caso, dato che gli spread non sono particolarmente elevati, riteniamo sensato combinare l'esposizione al credito con posizioni ben selezionate in titoli di Stato emergenti in valuta locale, perché offr</w:t>
      </w:r>
      <w:r w:rsidR="00757F18">
        <w:rPr>
          <w:rFonts w:ascii="Calibri" w:hAnsi="Calibri" w:cs="Calibri"/>
        </w:rPr>
        <w:t>ono</w:t>
      </w:r>
      <w:r w:rsidRPr="00EB6A40">
        <w:rPr>
          <w:rFonts w:ascii="Calibri" w:hAnsi="Calibri" w:cs="Calibri"/>
        </w:rPr>
        <w:t xml:space="preserve"> ottime prospettive di rendimento, soprattutto in termini di </w:t>
      </w:r>
      <w:proofErr w:type="spellStart"/>
      <w:r w:rsidRPr="00EB6A40">
        <w:rPr>
          <w:rFonts w:ascii="Calibri" w:hAnsi="Calibri" w:cs="Calibri"/>
        </w:rPr>
        <w:t>carry</w:t>
      </w:r>
      <w:proofErr w:type="spellEnd"/>
      <w:r w:rsidRPr="00EB6A40">
        <w:rPr>
          <w:rFonts w:ascii="Calibri" w:hAnsi="Calibri" w:cs="Calibri"/>
        </w:rPr>
        <w:t xml:space="preserve">, </w:t>
      </w:r>
      <w:r w:rsidR="00757F18">
        <w:rPr>
          <w:rFonts w:ascii="Calibri" w:hAnsi="Calibri" w:cs="Calibri"/>
        </w:rPr>
        <w:t xml:space="preserve">e potrebbero beneficiare di </w:t>
      </w:r>
      <w:r w:rsidRPr="00EB6A40">
        <w:rPr>
          <w:rFonts w:ascii="Calibri" w:hAnsi="Calibri" w:cs="Calibri"/>
        </w:rPr>
        <w:t>possibili movimenti di apprezzamento dei tassi di cambio</w:t>
      </w:r>
      <w:r w:rsidR="00757F18">
        <w:rPr>
          <w:rFonts w:ascii="Calibri" w:hAnsi="Calibri" w:cs="Calibri"/>
        </w:rPr>
        <w:t>.</w:t>
      </w:r>
      <w:r w:rsidRPr="00EB6A40">
        <w:rPr>
          <w:rFonts w:ascii="Calibri" w:hAnsi="Calibri" w:cs="Calibri"/>
        </w:rPr>
        <w:t xml:space="preserve"> </w:t>
      </w:r>
      <w:r w:rsidR="00757F18">
        <w:rPr>
          <w:rFonts w:ascii="Calibri" w:hAnsi="Calibri" w:cs="Calibri"/>
        </w:rPr>
        <w:t>I</w:t>
      </w:r>
      <w:r w:rsidRPr="00EB6A40">
        <w:rPr>
          <w:rFonts w:ascii="Calibri" w:hAnsi="Calibri" w:cs="Calibri"/>
        </w:rPr>
        <w:t>n secondo luogo, attualmente esiste un gruppo di Paesi emergenti per i quali prevediamo elevati tassi di crescita relativa e che beneficiano anche di una solida governance economica, di bassi deficit pubblici e di un'inflazione ragionevolmente controllata.</w:t>
      </w:r>
    </w:p>
    <w:p w14:paraId="678C062F" w14:textId="7381B305" w:rsidR="003A7E98" w:rsidRPr="005D78AB" w:rsidRDefault="003A7E98" w:rsidP="003A7E98">
      <w:pPr>
        <w:rPr>
          <w:rFonts w:ascii="Calibri" w:hAnsi="Calibri" w:cs="Calibri"/>
          <w:b/>
          <w:bCs/>
        </w:rPr>
      </w:pPr>
      <w:r w:rsidRPr="00EB6A40">
        <w:rPr>
          <w:rFonts w:ascii="Calibri" w:hAnsi="Calibri" w:cs="Calibri"/>
          <w:b/>
          <w:bCs/>
        </w:rPr>
        <w:t>Valute:</w:t>
      </w:r>
      <w:r w:rsidRPr="00EB6A40">
        <w:rPr>
          <w:rFonts w:ascii="Calibri" w:hAnsi="Calibri" w:cs="Calibri"/>
        </w:rPr>
        <w:t xml:space="preserve"> continuiamo a detenere solo posizioni moderate in dollari perché riteniamo che </w:t>
      </w:r>
      <w:r w:rsidRPr="005D78AB">
        <w:rPr>
          <w:rFonts w:ascii="Calibri" w:hAnsi="Calibri" w:cs="Calibri"/>
          <w:b/>
          <w:bCs/>
        </w:rPr>
        <w:t>il differenziale di crescita tra Stati Uniti ed Europa si ridurrà sensibilmente nel 2024</w:t>
      </w:r>
      <w:r w:rsidRPr="00EB6A40">
        <w:rPr>
          <w:rFonts w:ascii="Calibri" w:hAnsi="Calibri" w:cs="Calibri"/>
        </w:rPr>
        <w:t xml:space="preserve">. Allo stesso tempo, manteniamo una </w:t>
      </w:r>
      <w:r w:rsidRPr="005D78AB">
        <w:rPr>
          <w:rFonts w:ascii="Calibri" w:hAnsi="Calibri" w:cs="Calibri"/>
          <w:b/>
          <w:bCs/>
        </w:rPr>
        <w:t xml:space="preserve">visione positiva su valute come </w:t>
      </w:r>
      <w:r w:rsidR="00285D27" w:rsidRPr="005D78AB">
        <w:rPr>
          <w:rFonts w:ascii="Calibri" w:hAnsi="Calibri" w:cs="Calibri"/>
          <w:b/>
          <w:bCs/>
        </w:rPr>
        <w:t>la corona norvegese, il dollaro neozelandese e il dollaro australiano</w:t>
      </w:r>
      <w:r w:rsidR="00285D27" w:rsidRPr="00EB6A40">
        <w:rPr>
          <w:rFonts w:ascii="Calibri" w:hAnsi="Calibri" w:cs="Calibri"/>
        </w:rPr>
        <w:t>. C</w:t>
      </w:r>
      <w:r w:rsidRPr="00EB6A40">
        <w:rPr>
          <w:rFonts w:ascii="Calibri" w:hAnsi="Calibri" w:cs="Calibri"/>
        </w:rPr>
        <w:t xml:space="preserve">ontinuiamo a preferire le </w:t>
      </w:r>
      <w:r w:rsidRPr="005D78AB">
        <w:rPr>
          <w:rFonts w:ascii="Calibri" w:hAnsi="Calibri" w:cs="Calibri"/>
          <w:b/>
          <w:bCs/>
        </w:rPr>
        <w:t>valute dei mercati emergenti</w:t>
      </w:r>
      <w:r w:rsidRPr="00EB6A40">
        <w:rPr>
          <w:rFonts w:ascii="Calibri" w:hAnsi="Calibri" w:cs="Calibri"/>
        </w:rPr>
        <w:t xml:space="preserve"> con una buona governance macro e prospettive di crescita economica favorevoli (</w:t>
      </w:r>
      <w:r w:rsidR="00285D27" w:rsidRPr="005D78AB">
        <w:rPr>
          <w:rFonts w:ascii="Calibri" w:hAnsi="Calibri" w:cs="Calibri"/>
          <w:b/>
          <w:bCs/>
        </w:rPr>
        <w:t>Brasile, India, Messico</w:t>
      </w:r>
      <w:r w:rsidR="00EB6A40" w:rsidRPr="005D78AB">
        <w:rPr>
          <w:rFonts w:ascii="Calibri" w:hAnsi="Calibri" w:cs="Calibri"/>
          <w:b/>
          <w:bCs/>
        </w:rPr>
        <w:t>, Indonesia</w:t>
      </w:r>
      <w:r w:rsidRPr="00EB6A40">
        <w:rPr>
          <w:rFonts w:ascii="Calibri" w:hAnsi="Calibri" w:cs="Calibri"/>
        </w:rPr>
        <w:t xml:space="preserve">). Inoltre, visti i buoni segnali macro che il Giappone sta generando, riteniamo che </w:t>
      </w:r>
      <w:r w:rsidRPr="005D78AB">
        <w:rPr>
          <w:rFonts w:ascii="Calibri" w:hAnsi="Calibri" w:cs="Calibri"/>
          <w:b/>
          <w:bCs/>
        </w:rPr>
        <w:t>lo yen</w:t>
      </w:r>
      <w:r w:rsidR="00EB6A40" w:rsidRPr="005D78AB">
        <w:rPr>
          <w:rFonts w:ascii="Calibri" w:hAnsi="Calibri" w:cs="Calibri"/>
          <w:b/>
          <w:bCs/>
        </w:rPr>
        <w:t xml:space="preserve">, </w:t>
      </w:r>
      <w:r w:rsidRPr="005D78AB">
        <w:rPr>
          <w:rFonts w:ascii="Calibri" w:hAnsi="Calibri" w:cs="Calibri"/>
          <w:b/>
          <w:bCs/>
        </w:rPr>
        <w:t>in dosi prudenti</w:t>
      </w:r>
      <w:r w:rsidR="00EB6A40" w:rsidRPr="005D78AB">
        <w:rPr>
          <w:rFonts w:ascii="Calibri" w:hAnsi="Calibri" w:cs="Calibri"/>
          <w:b/>
          <w:bCs/>
        </w:rPr>
        <w:t>,</w:t>
      </w:r>
      <w:r w:rsidRPr="005D78AB">
        <w:rPr>
          <w:rFonts w:ascii="Calibri" w:hAnsi="Calibri" w:cs="Calibri"/>
          <w:b/>
          <w:bCs/>
        </w:rPr>
        <w:t xml:space="preserve"> possa rappresentare una buona posizione di protezione per i prossimi mesi.</w:t>
      </w:r>
    </w:p>
    <w:sectPr w:rsidR="003A7E98" w:rsidRPr="005D78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3E"/>
    <w:rsid w:val="0005353E"/>
    <w:rsid w:val="000648A3"/>
    <w:rsid w:val="0012128E"/>
    <w:rsid w:val="00122809"/>
    <w:rsid w:val="001C1AF0"/>
    <w:rsid w:val="002527CE"/>
    <w:rsid w:val="00262433"/>
    <w:rsid w:val="00270EF6"/>
    <w:rsid w:val="00285D27"/>
    <w:rsid w:val="003A7E98"/>
    <w:rsid w:val="004D6FE2"/>
    <w:rsid w:val="005119C4"/>
    <w:rsid w:val="0055609D"/>
    <w:rsid w:val="005D78AB"/>
    <w:rsid w:val="006D7A4E"/>
    <w:rsid w:val="00757F18"/>
    <w:rsid w:val="009004EA"/>
    <w:rsid w:val="00AF4474"/>
    <w:rsid w:val="00D378A0"/>
    <w:rsid w:val="00EB6A40"/>
    <w:rsid w:val="00EC2BE0"/>
    <w:rsid w:val="00FE3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584A"/>
  <w15:chartTrackingRefBased/>
  <w15:docId w15:val="{E222A20E-A0A8-40BA-8B1F-840681A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5353E"/>
    <w:rPr>
      <w:i/>
      <w:iCs/>
    </w:rPr>
  </w:style>
  <w:style w:type="paragraph" w:customStyle="1" w:styleId="Default">
    <w:name w:val="Default"/>
    <w:rsid w:val="0005353E"/>
    <w:pPr>
      <w:autoSpaceDE w:val="0"/>
      <w:autoSpaceDN w:val="0"/>
      <w:adjustRightInd w:val="0"/>
      <w:spacing w:after="0" w:line="240" w:lineRule="auto"/>
    </w:pPr>
    <w:rPr>
      <w:rFonts w:ascii="Arial" w:hAnsi="Arial" w:cs="Arial"/>
      <w:color w:val="000000"/>
      <w:kern w:val="0"/>
      <w:sz w:val="24"/>
      <w:szCs w:val="24"/>
    </w:rPr>
  </w:style>
  <w:style w:type="paragraph" w:styleId="Revisione">
    <w:name w:val="Revision"/>
    <w:hidden/>
    <w:uiPriority w:val="99"/>
    <w:semiHidden/>
    <w:rsid w:val="001C1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884</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Morici</dc:creator>
  <cp:keywords/>
  <dc:description/>
  <cp:lastModifiedBy>Diana Ferla</cp:lastModifiedBy>
  <cp:revision>17</cp:revision>
  <dcterms:created xsi:type="dcterms:W3CDTF">2023-12-05T09:14:00Z</dcterms:created>
  <dcterms:modified xsi:type="dcterms:W3CDTF">2023-12-05T13:59:00Z</dcterms:modified>
</cp:coreProperties>
</file>