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342E9CC6" w14:textId="7B26E991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594499">
        <w:rPr>
          <w:rFonts w:ascii="Arial" w:hAnsi="Arial" w:cs="Arial"/>
          <w:b/>
          <w:sz w:val="36"/>
          <w:szCs w:val="36"/>
        </w:rPr>
        <w:t>FLASH</w:t>
      </w:r>
      <w:r w:rsidR="00C54452">
        <w:rPr>
          <w:rFonts w:ascii="Arial" w:hAnsi="Arial" w:cs="Arial"/>
          <w:b/>
          <w:sz w:val="36"/>
          <w:szCs w:val="36"/>
        </w:rPr>
        <w:t xml:space="preserve"> </w:t>
      </w:r>
      <w:r w:rsidR="008310D0" w:rsidRPr="008310D0">
        <w:rPr>
          <w:rFonts w:ascii="Arial" w:hAnsi="Arial" w:cs="Arial"/>
          <w:b/>
          <w:sz w:val="36"/>
          <w:szCs w:val="36"/>
        </w:rPr>
        <w:t>BCE</w:t>
      </w:r>
      <w:r w:rsidR="008310D0">
        <w:rPr>
          <w:rFonts w:ascii="Arial" w:hAnsi="Arial" w:cs="Arial"/>
          <w:b/>
          <w:sz w:val="36"/>
          <w:szCs w:val="36"/>
        </w:rPr>
        <w:t xml:space="preserve"> –</w:t>
      </w:r>
      <w:r w:rsidR="008310D0" w:rsidRPr="008310D0">
        <w:rPr>
          <w:rFonts w:ascii="Arial" w:hAnsi="Arial" w:cs="Arial"/>
          <w:b/>
          <w:sz w:val="36"/>
          <w:szCs w:val="36"/>
        </w:rPr>
        <w:t xml:space="preserve"> </w:t>
      </w:r>
      <w:r w:rsidR="008310D0">
        <w:rPr>
          <w:rFonts w:ascii="Arial" w:hAnsi="Arial" w:cs="Arial"/>
          <w:b/>
          <w:sz w:val="36"/>
          <w:szCs w:val="36"/>
        </w:rPr>
        <w:t xml:space="preserve">Toni fermi di </w:t>
      </w:r>
      <w:r w:rsidR="008310D0" w:rsidRPr="008310D0">
        <w:rPr>
          <w:rFonts w:ascii="Arial" w:hAnsi="Arial" w:cs="Arial"/>
          <w:b/>
          <w:sz w:val="36"/>
          <w:szCs w:val="36"/>
        </w:rPr>
        <w:t>Lagarde dopo la "strambata" di Powell</w:t>
      </w:r>
    </w:p>
    <w:p w14:paraId="0F55C1C9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064A874C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</w:t>
      </w:r>
      <w:r w:rsidR="00E33C38">
        <w:rPr>
          <w:rFonts w:ascii="Arial" w:hAnsi="Arial" w:cs="Arial"/>
          <w:bCs/>
          <w:i/>
          <w:iCs/>
          <w:sz w:val="24"/>
          <w:szCs w:val="24"/>
        </w:rPr>
        <w:t xml:space="preserve"> di</w:t>
      </w: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Intermonte</w:t>
      </w:r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2C0EB195" w14:textId="77777777" w:rsidR="00F355C6" w:rsidRPr="000C68D1" w:rsidRDefault="00F355C6" w:rsidP="00594499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</w:p>
    <w:p w14:paraId="6BA5CCB8" w14:textId="34802B21" w:rsidR="00AC5D7C" w:rsidRPr="000C68D1" w:rsidRDefault="00AC5D7C" w:rsidP="000C68D1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0C68D1">
        <w:rPr>
          <w:rFonts w:ascii="Arial" w:hAnsi="Arial" w:cs="Arial"/>
          <w:color w:val="000000"/>
          <w:sz w:val="22"/>
          <w:szCs w:val="22"/>
        </w:rPr>
        <w:t>Di seguito una sintesi dei principali</w:t>
      </w:r>
      <w:r w:rsidR="008310D0" w:rsidRPr="000C68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68D1">
        <w:rPr>
          <w:rFonts w:ascii="Arial" w:hAnsi="Arial" w:cs="Arial"/>
          <w:color w:val="000000"/>
          <w:sz w:val="22"/>
          <w:szCs w:val="22"/>
        </w:rPr>
        <w:t>temi toccati nel corso della</w:t>
      </w:r>
      <w:r w:rsidR="008310D0" w:rsidRPr="000C68D1">
        <w:rPr>
          <w:rFonts w:ascii="Arial" w:hAnsi="Arial" w:cs="Arial"/>
          <w:color w:val="000000"/>
          <w:sz w:val="22"/>
          <w:szCs w:val="22"/>
        </w:rPr>
        <w:t xml:space="preserve"> riunione </w:t>
      </w:r>
      <w:r w:rsidRPr="000C68D1">
        <w:rPr>
          <w:rFonts w:ascii="Arial" w:hAnsi="Arial" w:cs="Arial"/>
          <w:color w:val="000000"/>
          <w:sz w:val="22"/>
          <w:szCs w:val="22"/>
        </w:rPr>
        <w:t xml:space="preserve">della </w:t>
      </w:r>
      <w:r w:rsidR="008310D0" w:rsidRPr="000C68D1">
        <w:rPr>
          <w:rFonts w:ascii="Arial" w:hAnsi="Arial" w:cs="Arial"/>
          <w:color w:val="000000"/>
          <w:sz w:val="22"/>
          <w:szCs w:val="22"/>
        </w:rPr>
        <w:t>BCE di oggi</w:t>
      </w:r>
      <w:r w:rsidRPr="000C68D1">
        <w:rPr>
          <w:rFonts w:ascii="Arial" w:hAnsi="Arial" w:cs="Arial"/>
          <w:color w:val="000000"/>
          <w:sz w:val="22"/>
          <w:szCs w:val="22"/>
        </w:rPr>
        <w:t>:</w:t>
      </w:r>
    </w:p>
    <w:p w14:paraId="2065671B" w14:textId="62477D7B" w:rsidR="008310D0" w:rsidRPr="000C68D1" w:rsidRDefault="008310D0" w:rsidP="000C68D1">
      <w:pPr>
        <w:pStyle w:val="NormaleWeb"/>
        <w:jc w:val="both"/>
        <w:rPr>
          <w:color w:val="000000"/>
          <w:sz w:val="22"/>
          <w:szCs w:val="22"/>
        </w:rPr>
      </w:pPr>
      <w:r w:rsidRPr="000C68D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D3136DF" w14:textId="1F6E994B" w:rsidR="008310D0" w:rsidRPr="000C68D1" w:rsidRDefault="008310D0" w:rsidP="000C68D1">
      <w:pPr>
        <w:numPr>
          <w:ilvl w:val="0"/>
          <w:numId w:val="83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>Riduzione delle stime di crescita ed inflazione per il 2024.</w:t>
      </w:r>
      <w:r w:rsidRPr="000C68D1">
        <w:rPr>
          <w:rFonts w:ascii="Arial" w:eastAsia="Times New Roman" w:hAnsi="Arial" w:cs="Arial"/>
          <w:color w:val="000000"/>
        </w:rPr>
        <w:t xml:space="preserve"> </w:t>
      </w:r>
      <w:r w:rsidR="00AC5D7C" w:rsidRPr="000C68D1">
        <w:rPr>
          <w:rFonts w:ascii="Arial" w:eastAsia="Times New Roman" w:hAnsi="Arial" w:cs="Arial"/>
          <w:color w:val="000000"/>
        </w:rPr>
        <w:t>Lo s</w:t>
      </w:r>
      <w:r w:rsidRPr="000C68D1">
        <w:rPr>
          <w:rFonts w:ascii="Arial" w:eastAsia="Times New Roman" w:hAnsi="Arial" w:cs="Arial"/>
          <w:color w:val="000000"/>
        </w:rPr>
        <w:t xml:space="preserve">cenario </w:t>
      </w:r>
      <w:r w:rsidR="00AC5D7C" w:rsidRPr="000C68D1">
        <w:rPr>
          <w:rFonts w:ascii="Arial" w:eastAsia="Times New Roman" w:hAnsi="Arial" w:cs="Arial"/>
          <w:color w:val="000000"/>
        </w:rPr>
        <w:t xml:space="preserve">è </w:t>
      </w:r>
      <w:r w:rsidRPr="000C68D1">
        <w:rPr>
          <w:rFonts w:ascii="Arial" w:eastAsia="Times New Roman" w:hAnsi="Arial" w:cs="Arial"/>
          <w:color w:val="000000"/>
        </w:rPr>
        <w:t>immutato per il 2025</w:t>
      </w:r>
      <w:r w:rsidR="00530B4F" w:rsidRPr="000C68D1">
        <w:rPr>
          <w:rFonts w:ascii="Arial" w:eastAsia="Times New Roman" w:hAnsi="Arial" w:cs="Arial"/>
          <w:color w:val="000000"/>
        </w:rPr>
        <w:t xml:space="preserve">, mentre i livelli di </w:t>
      </w:r>
      <w:r w:rsidRPr="000C68D1">
        <w:rPr>
          <w:rFonts w:ascii="Arial" w:eastAsia="Times New Roman" w:hAnsi="Arial" w:cs="Arial"/>
          <w:color w:val="000000"/>
        </w:rPr>
        <w:t xml:space="preserve">inflazione </w:t>
      </w:r>
      <w:r w:rsidR="00530B4F" w:rsidRPr="000C68D1">
        <w:rPr>
          <w:rFonts w:ascii="Arial" w:eastAsia="Times New Roman" w:hAnsi="Arial" w:cs="Arial"/>
          <w:color w:val="000000"/>
        </w:rPr>
        <w:t>scendono al di s</w:t>
      </w:r>
      <w:r w:rsidRPr="000C68D1">
        <w:rPr>
          <w:rFonts w:ascii="Arial" w:eastAsia="Times New Roman" w:hAnsi="Arial" w:cs="Arial"/>
          <w:color w:val="000000"/>
        </w:rPr>
        <w:t xml:space="preserve">otto </w:t>
      </w:r>
      <w:r w:rsidR="00530B4F" w:rsidRPr="000C68D1">
        <w:rPr>
          <w:rFonts w:ascii="Arial" w:eastAsia="Times New Roman" w:hAnsi="Arial" w:cs="Arial"/>
          <w:color w:val="000000"/>
        </w:rPr>
        <w:t>del</w:t>
      </w:r>
      <w:r w:rsidRPr="000C68D1">
        <w:rPr>
          <w:rFonts w:ascii="Arial" w:eastAsia="Times New Roman" w:hAnsi="Arial" w:cs="Arial"/>
          <w:color w:val="000000"/>
        </w:rPr>
        <w:t xml:space="preserve"> 2% (1,9%) nel 2026</w:t>
      </w:r>
      <w:r w:rsidR="00530B4F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 xml:space="preserve">  </w:t>
      </w:r>
    </w:p>
    <w:p w14:paraId="1412EE78" w14:textId="2D23BEC4" w:rsidR="008310D0" w:rsidRPr="000C68D1" w:rsidRDefault="008310D0" w:rsidP="000C68D1">
      <w:pPr>
        <w:numPr>
          <w:ilvl w:val="0"/>
          <w:numId w:val="83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>Piano PEPP</w:t>
      </w:r>
      <w:r w:rsidRPr="000C68D1">
        <w:rPr>
          <w:rFonts w:ascii="Arial" w:eastAsia="Times New Roman" w:hAnsi="Arial" w:cs="Arial"/>
          <w:color w:val="000000"/>
        </w:rPr>
        <w:t>: reinvestimenti immutati fino a</w:t>
      </w:r>
      <w:r w:rsidR="00530B4F" w:rsidRPr="000C68D1">
        <w:rPr>
          <w:rFonts w:ascii="Arial" w:eastAsia="Times New Roman" w:hAnsi="Arial" w:cs="Arial"/>
          <w:color w:val="000000"/>
        </w:rPr>
        <w:t>l</w:t>
      </w:r>
      <w:r w:rsidRPr="000C68D1">
        <w:rPr>
          <w:rFonts w:ascii="Arial" w:eastAsia="Times New Roman" w:hAnsi="Arial" w:cs="Arial"/>
          <w:color w:val="000000"/>
        </w:rPr>
        <w:t xml:space="preserve"> giugno 2024, poi in calo di </w:t>
      </w:r>
      <w:r w:rsidR="00530B4F" w:rsidRPr="000C68D1">
        <w:rPr>
          <w:rFonts w:ascii="Arial" w:eastAsia="Times New Roman" w:hAnsi="Arial" w:cs="Arial"/>
          <w:color w:val="000000"/>
        </w:rPr>
        <w:t>€</w:t>
      </w:r>
      <w:r w:rsidRPr="000C68D1">
        <w:rPr>
          <w:rFonts w:ascii="Arial" w:eastAsia="Times New Roman" w:hAnsi="Arial" w:cs="Arial"/>
          <w:color w:val="000000"/>
        </w:rPr>
        <w:t>7,5</w:t>
      </w:r>
      <w:r w:rsidR="00530B4F" w:rsidRPr="000C68D1">
        <w:rPr>
          <w:rFonts w:ascii="Arial" w:eastAsia="Times New Roman" w:hAnsi="Arial" w:cs="Arial"/>
          <w:color w:val="000000"/>
        </w:rPr>
        <w:t xml:space="preserve"> m</w:t>
      </w:r>
      <w:r w:rsidRPr="000C68D1">
        <w:rPr>
          <w:rFonts w:ascii="Arial" w:eastAsia="Times New Roman" w:hAnsi="Arial" w:cs="Arial"/>
          <w:color w:val="000000"/>
        </w:rPr>
        <w:t>ld</w:t>
      </w:r>
      <w:r w:rsidR="00530B4F" w:rsidRPr="000C68D1">
        <w:rPr>
          <w:rFonts w:ascii="Arial" w:eastAsia="Times New Roman" w:hAnsi="Arial" w:cs="Arial"/>
          <w:color w:val="000000"/>
        </w:rPr>
        <w:t xml:space="preserve"> al mese</w:t>
      </w:r>
      <w:r w:rsidRPr="000C68D1">
        <w:rPr>
          <w:rFonts w:ascii="Arial" w:eastAsia="Times New Roman" w:hAnsi="Arial" w:cs="Arial"/>
          <w:color w:val="000000"/>
        </w:rPr>
        <w:t xml:space="preserve"> </w:t>
      </w:r>
      <w:r w:rsidR="00530B4F" w:rsidRPr="000C68D1">
        <w:rPr>
          <w:rFonts w:ascii="Arial" w:eastAsia="Times New Roman" w:hAnsi="Arial" w:cs="Arial"/>
          <w:color w:val="000000"/>
        </w:rPr>
        <w:t xml:space="preserve">a partire </w:t>
      </w:r>
      <w:r w:rsidRPr="000C68D1">
        <w:rPr>
          <w:rFonts w:ascii="Arial" w:eastAsia="Times New Roman" w:hAnsi="Arial" w:cs="Arial"/>
          <w:color w:val="000000"/>
        </w:rPr>
        <w:t>dal secondo semestre</w:t>
      </w:r>
      <w:r w:rsidR="00530B4F" w:rsidRPr="000C68D1">
        <w:rPr>
          <w:rFonts w:ascii="Arial" w:eastAsia="Times New Roman" w:hAnsi="Arial" w:cs="Arial"/>
          <w:color w:val="000000"/>
        </w:rPr>
        <w:t xml:space="preserve"> e, infine,</w:t>
      </w:r>
      <w:r w:rsidRPr="000C68D1">
        <w:rPr>
          <w:rFonts w:ascii="Arial" w:eastAsia="Times New Roman" w:hAnsi="Arial" w:cs="Arial"/>
          <w:color w:val="000000"/>
        </w:rPr>
        <w:t xml:space="preserve"> </w:t>
      </w:r>
      <w:r w:rsidR="00530B4F" w:rsidRPr="000C68D1">
        <w:rPr>
          <w:rFonts w:ascii="Arial" w:eastAsia="Times New Roman" w:hAnsi="Arial" w:cs="Arial"/>
          <w:color w:val="000000"/>
        </w:rPr>
        <w:t>arresto</w:t>
      </w:r>
      <w:r w:rsidRPr="000C68D1">
        <w:rPr>
          <w:rFonts w:ascii="Arial" w:eastAsia="Times New Roman" w:hAnsi="Arial" w:cs="Arial"/>
          <w:color w:val="000000"/>
        </w:rPr>
        <w:t xml:space="preserve"> completo dei reinvestiment</w:t>
      </w:r>
      <w:r w:rsidR="00530B4F" w:rsidRPr="000C68D1">
        <w:rPr>
          <w:rFonts w:ascii="Arial" w:eastAsia="Times New Roman" w:hAnsi="Arial" w:cs="Arial"/>
          <w:color w:val="000000"/>
        </w:rPr>
        <w:t>i</w:t>
      </w:r>
      <w:r w:rsidRPr="000C68D1">
        <w:rPr>
          <w:rFonts w:ascii="Arial" w:eastAsia="Times New Roman" w:hAnsi="Arial" w:cs="Arial"/>
          <w:color w:val="000000"/>
        </w:rPr>
        <w:t xml:space="preserve"> a fine 2024</w:t>
      </w:r>
      <w:r w:rsidR="00530B4F" w:rsidRPr="000C68D1">
        <w:rPr>
          <w:rFonts w:ascii="Arial" w:eastAsia="Times New Roman" w:hAnsi="Arial" w:cs="Arial"/>
          <w:color w:val="000000"/>
        </w:rPr>
        <w:t>.</w:t>
      </w:r>
    </w:p>
    <w:p w14:paraId="355322F9" w14:textId="4352C963" w:rsidR="008310D0" w:rsidRPr="000C68D1" w:rsidRDefault="008310D0" w:rsidP="000C68D1">
      <w:pPr>
        <w:numPr>
          <w:ilvl w:val="0"/>
          <w:numId w:val="83"/>
        </w:numPr>
        <w:spacing w:after="16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 xml:space="preserve">Rischi sulla crescita </w:t>
      </w:r>
      <w:r w:rsidRPr="000C68D1">
        <w:rPr>
          <w:rFonts w:ascii="Arial" w:eastAsia="Times New Roman" w:hAnsi="Arial" w:cs="Arial"/>
          <w:color w:val="000000"/>
        </w:rPr>
        <w:t xml:space="preserve">al ribasso </w:t>
      </w:r>
      <w:r w:rsidR="00530B4F" w:rsidRPr="000C68D1">
        <w:rPr>
          <w:rFonts w:ascii="Arial" w:eastAsia="Times New Roman" w:hAnsi="Arial" w:cs="Arial"/>
          <w:color w:val="000000"/>
        </w:rPr>
        <w:t>e</w:t>
      </w:r>
      <w:r w:rsidRPr="000C68D1">
        <w:rPr>
          <w:rFonts w:ascii="Arial" w:eastAsia="Times New Roman" w:hAnsi="Arial" w:cs="Arial"/>
          <w:color w:val="000000"/>
        </w:rPr>
        <w:t xml:space="preserve"> </w:t>
      </w:r>
      <w:r w:rsidRPr="000C68D1">
        <w:rPr>
          <w:rFonts w:ascii="Arial" w:eastAsia="Times New Roman" w:hAnsi="Arial" w:cs="Arial"/>
          <w:b/>
          <w:bCs/>
          <w:color w:val="000000"/>
        </w:rPr>
        <w:t>rischi su</w:t>
      </w:r>
      <w:r w:rsidR="00EB7644">
        <w:rPr>
          <w:rFonts w:ascii="Arial" w:eastAsia="Times New Roman" w:hAnsi="Arial" w:cs="Arial"/>
          <w:b/>
          <w:bCs/>
          <w:color w:val="000000"/>
        </w:rPr>
        <w:t>ll’</w:t>
      </w:r>
      <w:r w:rsidRPr="000C68D1">
        <w:rPr>
          <w:rFonts w:ascii="Arial" w:eastAsia="Times New Roman" w:hAnsi="Arial" w:cs="Arial"/>
          <w:b/>
          <w:bCs/>
          <w:color w:val="000000"/>
        </w:rPr>
        <w:t>inflazione</w:t>
      </w:r>
      <w:r w:rsidRPr="000C68D1">
        <w:rPr>
          <w:rFonts w:ascii="Arial" w:eastAsia="Times New Roman" w:hAnsi="Arial" w:cs="Arial"/>
          <w:color w:val="000000"/>
        </w:rPr>
        <w:t> in entrambe le direzioni</w:t>
      </w:r>
      <w:r w:rsidR="00530B4F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09355D12" w14:textId="63327EA4" w:rsidR="008310D0" w:rsidRPr="000C68D1" w:rsidRDefault="008310D0" w:rsidP="000C68D1">
      <w:pPr>
        <w:pStyle w:val="NormaleWeb"/>
        <w:spacing w:after="160"/>
        <w:jc w:val="both"/>
        <w:rPr>
          <w:color w:val="000000"/>
          <w:sz w:val="22"/>
          <w:szCs w:val="22"/>
        </w:rPr>
      </w:pPr>
      <w:r w:rsidRPr="000C68D1">
        <w:rPr>
          <w:rFonts w:ascii="Arial" w:hAnsi="Arial" w:cs="Arial"/>
          <w:color w:val="000000"/>
          <w:sz w:val="22"/>
          <w:szCs w:val="22"/>
        </w:rPr>
        <w:t xml:space="preserve">  Principali dichiarazioni </w:t>
      </w:r>
      <w:r w:rsidR="00530B4F" w:rsidRPr="000C68D1">
        <w:rPr>
          <w:rFonts w:ascii="Arial" w:hAnsi="Arial" w:cs="Arial"/>
          <w:color w:val="000000"/>
          <w:sz w:val="22"/>
          <w:szCs w:val="22"/>
        </w:rPr>
        <w:t>di Christine</w:t>
      </w:r>
      <w:r w:rsidRPr="000C68D1">
        <w:rPr>
          <w:rFonts w:ascii="Arial" w:hAnsi="Arial" w:cs="Arial"/>
          <w:color w:val="000000"/>
          <w:sz w:val="22"/>
          <w:szCs w:val="22"/>
        </w:rPr>
        <w:t xml:space="preserve"> Lagarde</w:t>
      </w:r>
      <w:r w:rsidR="00530B4F" w:rsidRPr="000C68D1">
        <w:rPr>
          <w:rFonts w:ascii="Arial" w:hAnsi="Arial" w:cs="Arial"/>
          <w:color w:val="000000"/>
          <w:sz w:val="22"/>
          <w:szCs w:val="22"/>
        </w:rPr>
        <w:t>:</w:t>
      </w:r>
      <w:r w:rsidRPr="000C68D1">
        <w:rPr>
          <w:rFonts w:ascii="Arial" w:hAnsi="Arial" w:cs="Arial"/>
          <w:color w:val="000000"/>
          <w:sz w:val="22"/>
          <w:szCs w:val="22"/>
        </w:rPr>
        <w:t> </w:t>
      </w:r>
    </w:p>
    <w:p w14:paraId="5F403F46" w14:textId="6B2D2191" w:rsidR="008310D0" w:rsidRPr="000C68D1" w:rsidRDefault="008310D0" w:rsidP="000C68D1">
      <w:pPr>
        <w:numPr>
          <w:ilvl w:val="0"/>
          <w:numId w:val="84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Oggi non è stat</w:t>
      </w:r>
      <w:r w:rsidR="00530B4F" w:rsidRPr="000C68D1">
        <w:rPr>
          <w:rFonts w:ascii="Arial" w:eastAsia="Times New Roman" w:hAnsi="Arial" w:cs="Arial"/>
          <w:color w:val="000000"/>
        </w:rPr>
        <w:t>a</w:t>
      </w:r>
      <w:r w:rsidRPr="000C68D1">
        <w:rPr>
          <w:rFonts w:ascii="Arial" w:eastAsia="Times New Roman" w:hAnsi="Arial" w:cs="Arial"/>
          <w:color w:val="000000"/>
        </w:rPr>
        <w:t xml:space="preserve"> affatto discussa l’ipotesi </w:t>
      </w:r>
      <w:r w:rsidR="00530B4F" w:rsidRPr="000C68D1">
        <w:rPr>
          <w:rFonts w:ascii="Arial" w:eastAsia="Times New Roman" w:hAnsi="Arial" w:cs="Arial"/>
          <w:color w:val="000000"/>
        </w:rPr>
        <w:t xml:space="preserve">di un </w:t>
      </w:r>
      <w:r w:rsidRPr="000C68D1">
        <w:rPr>
          <w:rFonts w:ascii="Arial" w:eastAsia="Times New Roman" w:hAnsi="Arial" w:cs="Arial"/>
          <w:color w:val="000000"/>
        </w:rPr>
        <w:t xml:space="preserve">taglio </w:t>
      </w:r>
      <w:r w:rsidR="00530B4F" w:rsidRPr="000C68D1">
        <w:rPr>
          <w:rFonts w:ascii="Arial" w:eastAsia="Times New Roman" w:hAnsi="Arial" w:cs="Arial"/>
          <w:color w:val="000000"/>
        </w:rPr>
        <w:t xml:space="preserve">dei </w:t>
      </w:r>
      <w:r w:rsidRPr="000C68D1">
        <w:rPr>
          <w:rFonts w:ascii="Arial" w:eastAsia="Times New Roman" w:hAnsi="Arial" w:cs="Arial"/>
          <w:color w:val="000000"/>
        </w:rPr>
        <w:t>tassi</w:t>
      </w:r>
      <w:r w:rsidR="00530B4F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3EC84210" w14:textId="4AA857C8" w:rsidR="008310D0" w:rsidRPr="000C68D1" w:rsidRDefault="008310D0" w:rsidP="000C68D1">
      <w:pPr>
        <w:numPr>
          <w:ilvl w:val="0"/>
          <w:numId w:val="84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 xml:space="preserve">La Bce è </w:t>
      </w:r>
      <w:r w:rsidRPr="000C68D1">
        <w:rPr>
          <w:rFonts w:ascii="Arial" w:eastAsia="Times New Roman" w:hAnsi="Arial" w:cs="Arial"/>
          <w:i/>
          <w:iCs/>
          <w:color w:val="000000"/>
        </w:rPr>
        <w:t>data dependent</w:t>
      </w:r>
      <w:r w:rsidRPr="000C68D1">
        <w:rPr>
          <w:rFonts w:ascii="Arial" w:eastAsia="Times New Roman" w:hAnsi="Arial" w:cs="Arial"/>
          <w:color w:val="000000"/>
        </w:rPr>
        <w:t xml:space="preserve">, non </w:t>
      </w:r>
      <w:r w:rsidRPr="000C68D1">
        <w:rPr>
          <w:rFonts w:ascii="Arial" w:eastAsia="Times New Roman" w:hAnsi="Arial" w:cs="Arial"/>
          <w:i/>
          <w:iCs/>
          <w:color w:val="000000"/>
        </w:rPr>
        <w:t>time dependent</w:t>
      </w:r>
      <w:r w:rsidR="00530B4F" w:rsidRPr="000C68D1">
        <w:rPr>
          <w:rFonts w:ascii="Arial" w:eastAsia="Times New Roman" w:hAnsi="Arial" w:cs="Arial"/>
          <w:i/>
          <w:iCs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239B2D4A" w14:textId="59242B78" w:rsidR="008310D0" w:rsidRPr="000C68D1" w:rsidRDefault="00530B4F" w:rsidP="000C68D1">
      <w:pPr>
        <w:numPr>
          <w:ilvl w:val="0"/>
          <w:numId w:val="84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La</w:t>
      </w:r>
      <w:r w:rsidR="008310D0" w:rsidRPr="000C68D1">
        <w:rPr>
          <w:rFonts w:ascii="Arial" w:eastAsia="Times New Roman" w:hAnsi="Arial" w:cs="Arial"/>
          <w:color w:val="000000"/>
        </w:rPr>
        <w:t xml:space="preserve"> recessione </w:t>
      </w:r>
      <w:r w:rsidRPr="000C68D1">
        <w:rPr>
          <w:rFonts w:ascii="Arial" w:eastAsia="Times New Roman" w:hAnsi="Arial" w:cs="Arial"/>
          <w:color w:val="000000"/>
        </w:rPr>
        <w:t xml:space="preserve">non rappresenta lo </w:t>
      </w:r>
      <w:r w:rsidR="008310D0" w:rsidRPr="000C68D1">
        <w:rPr>
          <w:rFonts w:ascii="Arial" w:eastAsia="Times New Roman" w:hAnsi="Arial" w:cs="Arial"/>
          <w:color w:val="000000"/>
        </w:rPr>
        <w:t>scenario base </w:t>
      </w:r>
      <w:r w:rsidRPr="000C68D1">
        <w:rPr>
          <w:rFonts w:ascii="Arial" w:eastAsia="Times New Roman" w:hAnsi="Arial" w:cs="Arial"/>
          <w:color w:val="000000"/>
        </w:rPr>
        <w:t>della BCE.</w:t>
      </w:r>
    </w:p>
    <w:p w14:paraId="177BDC0A" w14:textId="5BA4763B" w:rsidR="008310D0" w:rsidRPr="000C68D1" w:rsidRDefault="008310D0" w:rsidP="000C68D1">
      <w:pPr>
        <w:pStyle w:val="Normale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0C68D1">
        <w:rPr>
          <w:rFonts w:ascii="Arial" w:hAnsi="Arial" w:cs="Arial"/>
          <w:color w:val="000000"/>
          <w:sz w:val="22"/>
          <w:szCs w:val="22"/>
        </w:rPr>
        <w:t>  </w:t>
      </w:r>
    </w:p>
    <w:p w14:paraId="05B52269" w14:textId="14FAF3EE" w:rsidR="008310D0" w:rsidRDefault="008310D0" w:rsidP="000C68D1">
      <w:pPr>
        <w:pStyle w:val="NormaleWeb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B7644">
        <w:rPr>
          <w:rFonts w:ascii="Arial" w:hAnsi="Arial" w:cs="Arial"/>
          <w:color w:val="000000"/>
          <w:sz w:val="22"/>
          <w:szCs w:val="22"/>
          <w:u w:val="single"/>
        </w:rPr>
        <w:t>In sintesi</w:t>
      </w:r>
      <w:r w:rsidR="00EB764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349BC163" w14:textId="77777777" w:rsidR="00EB7644" w:rsidRPr="00EB7644" w:rsidRDefault="00EB7644" w:rsidP="000C68D1">
      <w:pPr>
        <w:pStyle w:val="NormaleWeb"/>
        <w:jc w:val="both"/>
        <w:rPr>
          <w:color w:val="000000"/>
          <w:sz w:val="22"/>
          <w:szCs w:val="22"/>
          <w:u w:val="single"/>
        </w:rPr>
      </w:pPr>
    </w:p>
    <w:p w14:paraId="10F5C128" w14:textId="3C58B165" w:rsidR="008310D0" w:rsidRPr="000C68D1" w:rsidRDefault="00530B4F" w:rsidP="000C68D1">
      <w:pPr>
        <w:numPr>
          <w:ilvl w:val="0"/>
          <w:numId w:val="85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I toni di Lagarde sono stati diversi rispetto a quelli utilizzati ieri da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310D0" w:rsidRPr="000C68D1">
        <w:rPr>
          <w:rFonts w:ascii="Arial" w:eastAsia="Times New Roman" w:hAnsi="Arial" w:cs="Arial"/>
          <w:color w:val="000000"/>
        </w:rPr>
        <w:t>Powell</w:t>
      </w:r>
      <w:r w:rsidR="00EB7644">
        <w:rPr>
          <w:rFonts w:ascii="Arial" w:eastAsia="Times New Roman" w:hAnsi="Arial" w:cs="Arial"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 xml:space="preserve"> così come diversi sono i contesti di fronte a cui si trovano Bce e Fed</w:t>
      </w:r>
      <w:r w:rsidR="008310D0" w:rsidRPr="000C68D1">
        <w:rPr>
          <w:rFonts w:ascii="Arial" w:eastAsia="Times New Roman" w:hAnsi="Arial" w:cs="Arial"/>
          <w:color w:val="000000"/>
        </w:rPr>
        <w:t>, malgrado i recenti cali dell’inflazione. </w:t>
      </w:r>
    </w:p>
    <w:p w14:paraId="3EFFD90C" w14:textId="3CBDB898" w:rsidR="008310D0" w:rsidRPr="000C68D1" w:rsidRDefault="00530B4F" w:rsidP="000C68D1">
      <w:pPr>
        <w:numPr>
          <w:ilvl w:val="1"/>
          <w:numId w:val="88"/>
        </w:numPr>
        <w:spacing w:after="0" w:line="254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Segnali di un simile</w:t>
      </w:r>
      <w:r w:rsidR="008310D0" w:rsidRPr="000C68D1">
        <w:rPr>
          <w:rFonts w:ascii="Arial" w:eastAsia="Times New Roman" w:hAnsi="Arial" w:cs="Arial"/>
          <w:color w:val="000000"/>
        </w:rPr>
        <w:t xml:space="preserve"> orientamento si colgono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="008310D0" w:rsidRPr="000C68D1">
        <w:rPr>
          <w:rFonts w:ascii="Arial" w:eastAsia="Times New Roman" w:hAnsi="Arial" w:cs="Arial"/>
          <w:color w:val="000000"/>
        </w:rPr>
        <w:t xml:space="preserve"> ad esempio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="008310D0" w:rsidRPr="000C68D1">
        <w:rPr>
          <w:rFonts w:ascii="Arial" w:eastAsia="Times New Roman" w:hAnsi="Arial" w:cs="Arial"/>
          <w:color w:val="000000"/>
        </w:rPr>
        <w:t xml:space="preserve"> nel fatto che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 per il 2025 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sono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stat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e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confermat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e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l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e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stim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e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di inflazione al 2,1%, con 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 xml:space="preserve">inflazione </w:t>
      </w:r>
      <w:r w:rsidR="000C68D1" w:rsidRPr="00EB7644">
        <w:rPr>
          <w:rFonts w:ascii="Arial" w:eastAsia="Times New Roman" w:hAnsi="Arial" w:cs="Arial"/>
          <w:b/>
          <w:bCs/>
          <w:i/>
          <w:iCs/>
          <w:color w:val="000000"/>
        </w:rPr>
        <w:t>core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 xml:space="preserve"> stimata in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rialzo (da 2,2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%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 a 2,3%) per lo stesso anno.</w:t>
      </w:r>
      <w:r w:rsidR="008310D0" w:rsidRPr="000C68D1">
        <w:rPr>
          <w:rFonts w:ascii="Arial" w:eastAsia="Times New Roman" w:hAnsi="Arial" w:cs="Arial"/>
          <w:color w:val="000000"/>
        </w:rPr>
        <w:t> </w:t>
      </w:r>
    </w:p>
    <w:p w14:paraId="0E63C721" w14:textId="77777777" w:rsidR="000C68D1" w:rsidRPr="000C68D1" w:rsidRDefault="008310D0" w:rsidP="000C68D1">
      <w:pPr>
        <w:numPr>
          <w:ilvl w:val="1"/>
          <w:numId w:val="88"/>
        </w:numPr>
        <w:spacing w:after="0" w:line="254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In altri termini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 xml:space="preserve"> i recenti cali dell’inflazione non hanno scalfito neanche di un decimale le stime</w:t>
      </w:r>
      <w:r w:rsidR="000C68D1" w:rsidRPr="000C68D1">
        <w:rPr>
          <w:rFonts w:ascii="Arial" w:eastAsia="Times New Roman" w:hAnsi="Arial" w:cs="Arial"/>
          <w:color w:val="000000"/>
        </w:rPr>
        <w:t xml:space="preserve"> di</w:t>
      </w:r>
      <w:r w:rsidRPr="000C68D1">
        <w:rPr>
          <w:rFonts w:ascii="Arial" w:eastAsia="Times New Roman" w:hAnsi="Arial" w:cs="Arial"/>
          <w:color w:val="000000"/>
        </w:rPr>
        <w:t xml:space="preserve"> inflazione generale </w:t>
      </w:r>
      <w:r w:rsidR="000C68D1" w:rsidRPr="000C68D1">
        <w:rPr>
          <w:rFonts w:ascii="Arial" w:eastAsia="Times New Roman" w:hAnsi="Arial" w:cs="Arial"/>
          <w:color w:val="000000"/>
        </w:rPr>
        <w:t xml:space="preserve">per il </w:t>
      </w:r>
      <w:r w:rsidRPr="000C68D1">
        <w:rPr>
          <w:rFonts w:ascii="Arial" w:eastAsia="Times New Roman" w:hAnsi="Arial" w:cs="Arial"/>
          <w:color w:val="000000"/>
        </w:rPr>
        <w:t>2025</w:t>
      </w:r>
      <w:r w:rsidR="000C68D1" w:rsidRPr="000C68D1">
        <w:rPr>
          <w:rFonts w:ascii="Arial" w:eastAsia="Times New Roman" w:hAnsi="Arial" w:cs="Arial"/>
          <w:color w:val="000000"/>
        </w:rPr>
        <w:t>.</w:t>
      </w:r>
    </w:p>
    <w:p w14:paraId="78368011" w14:textId="2EF52A48" w:rsidR="008310D0" w:rsidRPr="000C68D1" w:rsidRDefault="008310D0" w:rsidP="000C68D1">
      <w:pPr>
        <w:spacing w:after="0" w:line="254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 </w:t>
      </w:r>
    </w:p>
    <w:p w14:paraId="5B7DD1E2" w14:textId="3B49A063" w:rsidR="008310D0" w:rsidRPr="000C68D1" w:rsidRDefault="008310D0" w:rsidP="008310D0">
      <w:pPr>
        <w:jc w:val="both"/>
        <w:rPr>
          <w:rFonts w:ascii="Calibri" w:eastAsia="Times New Roman" w:hAnsi="Calibri" w:cs="Calibri"/>
          <w:color w:val="000000"/>
        </w:rPr>
      </w:pPr>
      <w:r w:rsidRPr="000C68D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CF6BAB3" wp14:editId="14C2BEA1">
            <wp:extent cx="6120130" cy="1355725"/>
            <wp:effectExtent l="0" t="0" r="0" b="0"/>
            <wp:docPr id="1507249671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49671" name="Immagine 1" descr="Immagine che contiene testo, schermata, Carattere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B8A7" w14:textId="6182E970" w:rsidR="008310D0" w:rsidRPr="000C68D1" w:rsidRDefault="000C68D1" w:rsidP="008310D0">
      <w:pPr>
        <w:numPr>
          <w:ilvl w:val="0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 xml:space="preserve">La 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 xml:space="preserve">Bce </w:t>
      </w:r>
      <w:r w:rsidRPr="000C68D1">
        <w:rPr>
          <w:rFonts w:ascii="Arial" w:eastAsia="Times New Roman" w:hAnsi="Arial" w:cs="Arial"/>
          <w:b/>
          <w:bCs/>
          <w:color w:val="000000"/>
        </w:rPr>
        <w:t xml:space="preserve">si trova in una situazione differente </w:t>
      </w:r>
      <w:r w:rsidR="008310D0" w:rsidRPr="000C68D1">
        <w:rPr>
          <w:rFonts w:ascii="Arial" w:eastAsia="Times New Roman" w:hAnsi="Arial" w:cs="Arial"/>
          <w:b/>
          <w:bCs/>
          <w:color w:val="000000"/>
        </w:rPr>
        <w:t>rispetto alla Fed</w:t>
      </w:r>
      <w:r w:rsidRPr="000C68D1">
        <w:rPr>
          <w:rFonts w:ascii="Arial" w:eastAsia="Times New Roman" w:hAnsi="Arial" w:cs="Arial"/>
          <w:color w:val="000000"/>
        </w:rPr>
        <w:t>,</w:t>
      </w:r>
      <w:r w:rsidR="008310D0" w:rsidRPr="000C68D1">
        <w:rPr>
          <w:rFonts w:ascii="Arial" w:eastAsia="Times New Roman" w:hAnsi="Arial" w:cs="Arial"/>
          <w:color w:val="000000"/>
        </w:rPr>
        <w:t xml:space="preserve"> soprattutto </w:t>
      </w:r>
      <w:r w:rsidRPr="000C68D1">
        <w:rPr>
          <w:rFonts w:ascii="Arial" w:eastAsia="Times New Roman" w:hAnsi="Arial" w:cs="Arial"/>
          <w:color w:val="000000"/>
        </w:rPr>
        <w:t>per</w:t>
      </w:r>
      <w:r w:rsidR="008310D0" w:rsidRPr="000C68D1">
        <w:rPr>
          <w:rFonts w:ascii="Arial" w:eastAsia="Times New Roman" w:hAnsi="Arial" w:cs="Arial"/>
          <w:color w:val="000000"/>
        </w:rPr>
        <w:t xml:space="preserve"> due fattori</w:t>
      </w:r>
      <w:r w:rsidRPr="000C68D1">
        <w:rPr>
          <w:rFonts w:ascii="Arial" w:eastAsia="Times New Roman" w:hAnsi="Arial" w:cs="Arial"/>
          <w:color w:val="000000"/>
        </w:rPr>
        <w:t>:</w:t>
      </w:r>
      <w:r w:rsidR="008310D0" w:rsidRPr="000C68D1">
        <w:rPr>
          <w:rFonts w:ascii="Arial" w:eastAsia="Times New Roman" w:hAnsi="Arial" w:cs="Arial"/>
          <w:color w:val="000000"/>
        </w:rPr>
        <w:t> </w:t>
      </w:r>
    </w:p>
    <w:p w14:paraId="155D8136" w14:textId="01D4EFF9" w:rsidR="008310D0" w:rsidRPr="000C68D1" w:rsidRDefault="008310D0" w:rsidP="008310D0">
      <w:pPr>
        <w:numPr>
          <w:ilvl w:val="1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 xml:space="preserve">La Fed ha </w:t>
      </w:r>
      <w:r w:rsidR="000C68D1" w:rsidRPr="000C68D1">
        <w:rPr>
          <w:rFonts w:ascii="Arial" w:eastAsia="Times New Roman" w:hAnsi="Arial" w:cs="Arial"/>
          <w:color w:val="000000"/>
        </w:rPr>
        <w:t>intrapreso</w:t>
      </w:r>
      <w:r w:rsidRPr="000C68D1">
        <w:rPr>
          <w:rFonts w:ascii="Arial" w:eastAsia="Times New Roman" w:hAnsi="Arial" w:cs="Arial"/>
          <w:color w:val="000000"/>
        </w:rPr>
        <w:t xml:space="preserve"> prima della Bce </w:t>
      </w:r>
      <w:r w:rsidR="000C68D1" w:rsidRPr="000C68D1">
        <w:rPr>
          <w:rFonts w:ascii="Arial" w:eastAsia="Times New Roman" w:hAnsi="Arial" w:cs="Arial"/>
          <w:color w:val="000000"/>
        </w:rPr>
        <w:t>il ciclo di rialzi dei tassi;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3F32C457" w14:textId="5D342EB9" w:rsidR="008310D0" w:rsidRPr="000C68D1" w:rsidRDefault="008310D0" w:rsidP="008310D0">
      <w:pPr>
        <w:numPr>
          <w:ilvl w:val="1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>La Fed ha già iniziato il QT da diversi mesi, mentre per la Bce è ancora in parte in atto un QE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 xml:space="preserve"> tramite i reinvestimenti del PEPP</w:t>
      </w:r>
      <w:r w:rsidR="000C68D1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19A321A3" w14:textId="755404FC" w:rsidR="008310D0" w:rsidRPr="000C68D1" w:rsidRDefault="008310D0" w:rsidP="008310D0">
      <w:pPr>
        <w:numPr>
          <w:ilvl w:val="0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t xml:space="preserve">L’ipotesi </w:t>
      </w:r>
      <w:r w:rsidR="000C68D1" w:rsidRPr="000C68D1">
        <w:rPr>
          <w:rFonts w:ascii="Arial" w:eastAsia="Times New Roman" w:hAnsi="Arial" w:cs="Arial"/>
          <w:color w:val="000000"/>
        </w:rPr>
        <w:t>di un taglio dei tassi, pertanto,</w:t>
      </w:r>
      <w:r w:rsidRPr="000C68D1">
        <w:rPr>
          <w:rFonts w:ascii="Arial" w:eastAsia="Times New Roman" w:hAnsi="Arial" w:cs="Arial"/>
          <w:color w:val="000000"/>
        </w:rPr>
        <w:t xml:space="preserve"> potrà essere presa in </w:t>
      </w:r>
      <w:r w:rsidR="000C68D1" w:rsidRPr="000C68D1">
        <w:rPr>
          <w:rFonts w:ascii="Arial" w:eastAsia="Times New Roman" w:hAnsi="Arial" w:cs="Arial"/>
          <w:color w:val="000000"/>
        </w:rPr>
        <w:t>considerazione</w:t>
      </w:r>
      <w:r w:rsidRPr="000C68D1">
        <w:rPr>
          <w:rFonts w:ascii="Arial" w:eastAsia="Times New Roman" w:hAnsi="Arial" w:cs="Arial"/>
          <w:color w:val="000000"/>
        </w:rPr>
        <w:t xml:space="preserve"> non prima dell’inizio della fase di riduzione del piano di reinvestimenti del PEPP, il che pone la Fed potenzialmente in anticipo rispetto alla BCE </w:t>
      </w:r>
      <w:r w:rsidR="00EB7644">
        <w:rPr>
          <w:rFonts w:ascii="Arial" w:eastAsia="Times New Roman" w:hAnsi="Arial" w:cs="Arial"/>
          <w:color w:val="000000"/>
        </w:rPr>
        <w:t>su un eventuale</w:t>
      </w:r>
      <w:r w:rsidRPr="000C68D1">
        <w:rPr>
          <w:rFonts w:ascii="Arial" w:eastAsia="Times New Roman" w:hAnsi="Arial" w:cs="Arial"/>
          <w:color w:val="000000"/>
        </w:rPr>
        <w:t xml:space="preserve"> taglio</w:t>
      </w:r>
      <w:r w:rsidR="00EB7644">
        <w:rPr>
          <w:rFonts w:ascii="Arial" w:eastAsia="Times New Roman" w:hAnsi="Arial" w:cs="Arial"/>
          <w:color w:val="000000"/>
        </w:rPr>
        <w:t xml:space="preserve"> dei</w:t>
      </w:r>
      <w:r w:rsidRPr="000C68D1">
        <w:rPr>
          <w:rFonts w:ascii="Arial" w:eastAsia="Times New Roman" w:hAnsi="Arial" w:cs="Arial"/>
          <w:color w:val="000000"/>
        </w:rPr>
        <w:t xml:space="preserve"> tassi, come prezzato oggi dal mercato mediante </w:t>
      </w:r>
      <w:r w:rsidR="000C68D1" w:rsidRPr="000C68D1">
        <w:rPr>
          <w:rFonts w:ascii="Arial" w:eastAsia="Times New Roman" w:hAnsi="Arial" w:cs="Arial"/>
          <w:color w:val="000000"/>
        </w:rPr>
        <w:t xml:space="preserve">la </w:t>
      </w:r>
      <w:r w:rsidRPr="000C68D1">
        <w:rPr>
          <w:rFonts w:ascii="Arial" w:eastAsia="Times New Roman" w:hAnsi="Arial" w:cs="Arial"/>
          <w:color w:val="000000"/>
        </w:rPr>
        <w:t xml:space="preserve">riduzione dei differenziali di tasso sul </w:t>
      </w:r>
      <w:r w:rsidR="000C68D1" w:rsidRPr="000C68D1">
        <w:rPr>
          <w:rFonts w:ascii="Arial" w:eastAsia="Times New Roman" w:hAnsi="Arial" w:cs="Arial"/>
          <w:color w:val="000000"/>
        </w:rPr>
        <w:t>decennale</w:t>
      </w:r>
      <w:r w:rsidRPr="000C68D1">
        <w:rPr>
          <w:rFonts w:ascii="Arial" w:eastAsia="Times New Roman" w:hAnsi="Arial" w:cs="Arial"/>
          <w:color w:val="000000"/>
        </w:rPr>
        <w:t xml:space="preserve"> e </w:t>
      </w:r>
      <w:r w:rsidR="000C68D1" w:rsidRPr="000C68D1">
        <w:rPr>
          <w:rFonts w:ascii="Arial" w:eastAsia="Times New Roman" w:hAnsi="Arial" w:cs="Arial"/>
          <w:color w:val="000000"/>
        </w:rPr>
        <w:t xml:space="preserve">il </w:t>
      </w:r>
      <w:r w:rsidRPr="000C68D1">
        <w:rPr>
          <w:rFonts w:ascii="Arial" w:eastAsia="Times New Roman" w:hAnsi="Arial" w:cs="Arial"/>
          <w:color w:val="000000"/>
        </w:rPr>
        <w:t>deprezzamento del dollaro in prossimità di 1,10</w:t>
      </w:r>
      <w:r w:rsidR="000C68D1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4646032F" w14:textId="6425DE96" w:rsidR="000C68D1" w:rsidRPr="000C68D1" w:rsidRDefault="008310D0" w:rsidP="000C68D1">
      <w:pPr>
        <w:numPr>
          <w:ilvl w:val="0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>La riduzione del piano di reinvestimenti del PEPP</w:t>
      </w:r>
      <w:r w:rsidRPr="000C68D1">
        <w:rPr>
          <w:rFonts w:ascii="Arial" w:eastAsia="Times New Roman" w:hAnsi="Arial" w:cs="Arial"/>
          <w:color w:val="000000"/>
        </w:rPr>
        <w:t xml:space="preserve"> è prevista dalla seconda metà del 2024, probabilmente </w:t>
      </w:r>
      <w:r w:rsidRPr="000C68D1">
        <w:rPr>
          <w:rFonts w:ascii="Arial" w:eastAsia="Times New Roman" w:hAnsi="Arial" w:cs="Arial"/>
          <w:b/>
          <w:bCs/>
          <w:color w:val="000000"/>
        </w:rPr>
        <w:t xml:space="preserve">per 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garantire</w:t>
      </w:r>
      <w:r w:rsidRPr="000C68D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al</w:t>
      </w:r>
      <w:r w:rsidRPr="000C68D1">
        <w:rPr>
          <w:rFonts w:ascii="Arial" w:eastAsia="Times New Roman" w:hAnsi="Arial" w:cs="Arial"/>
          <w:b/>
          <w:bCs/>
          <w:color w:val="000000"/>
        </w:rPr>
        <w:t>la BCE il massimo potenziale dei reinvestimenti del PEPP durante la fase (primo semestre) di picco del refunding di governi/aziende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.</w:t>
      </w:r>
      <w:r w:rsidRPr="000C68D1">
        <w:rPr>
          <w:rFonts w:ascii="Arial" w:eastAsia="Times New Roman" w:hAnsi="Arial" w:cs="Arial"/>
          <w:b/>
          <w:bCs/>
          <w:color w:val="000000"/>
        </w:rPr>
        <w:t> </w:t>
      </w:r>
    </w:p>
    <w:p w14:paraId="2CA76083" w14:textId="5DF6874F" w:rsidR="008310D0" w:rsidRPr="000C68D1" w:rsidRDefault="008310D0" w:rsidP="000C68D1">
      <w:pPr>
        <w:numPr>
          <w:ilvl w:val="0"/>
          <w:numId w:val="86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color w:val="000000"/>
        </w:rPr>
        <w:lastRenderedPageBreak/>
        <w:t xml:space="preserve">La riduzione di tali reinvestimenti pone </w:t>
      </w:r>
      <w:r w:rsidR="000C68D1" w:rsidRPr="000C68D1">
        <w:rPr>
          <w:rFonts w:ascii="Arial" w:eastAsia="Times New Roman" w:hAnsi="Arial" w:cs="Arial"/>
          <w:color w:val="000000"/>
        </w:rPr>
        <w:t>la questione</w:t>
      </w:r>
      <w:r w:rsidRPr="000C68D1">
        <w:rPr>
          <w:rFonts w:ascii="Arial" w:eastAsia="Times New Roman" w:hAnsi="Arial" w:cs="Arial"/>
          <w:color w:val="000000"/>
        </w:rPr>
        <w:t xml:space="preserve"> dei rischi </w:t>
      </w:r>
      <w:r w:rsidR="000C68D1" w:rsidRPr="000C68D1">
        <w:rPr>
          <w:rFonts w:ascii="Arial" w:eastAsia="Times New Roman" w:hAnsi="Arial" w:cs="Arial"/>
          <w:color w:val="000000"/>
        </w:rPr>
        <w:t>di</w:t>
      </w:r>
      <w:r w:rsidRPr="000C68D1">
        <w:rPr>
          <w:rFonts w:ascii="Arial" w:eastAsia="Times New Roman" w:hAnsi="Arial" w:cs="Arial"/>
          <w:color w:val="000000"/>
        </w:rPr>
        <w:t xml:space="preserve"> frammentazione (alias allargamento spread) che Lagarde ha confutato dichiarando </w:t>
      </w:r>
      <w:r w:rsidR="000C68D1" w:rsidRPr="000C68D1">
        <w:rPr>
          <w:rFonts w:ascii="Arial" w:eastAsia="Times New Roman" w:hAnsi="Arial" w:cs="Arial"/>
          <w:color w:val="000000"/>
        </w:rPr>
        <w:t>“A</w:t>
      </w:r>
      <w:r w:rsidRPr="000C68D1">
        <w:rPr>
          <w:rFonts w:ascii="Arial" w:eastAsia="Times New Roman" w:hAnsi="Arial" w:cs="Arial"/>
          <w:color w:val="000000"/>
        </w:rPr>
        <w:t>bbiamo diversi strumenti per contenere la frammentazione</w:t>
      </w:r>
      <w:r w:rsidR="000C68D1" w:rsidRPr="000C68D1">
        <w:rPr>
          <w:rFonts w:ascii="Arial" w:eastAsia="Times New Roman" w:hAnsi="Arial" w:cs="Arial"/>
          <w:color w:val="000000"/>
        </w:rPr>
        <w:t>”.</w:t>
      </w:r>
    </w:p>
    <w:p w14:paraId="22B01E0D" w14:textId="77777777" w:rsidR="000C68D1" w:rsidRPr="000C68D1" w:rsidRDefault="000C68D1" w:rsidP="000C68D1">
      <w:pPr>
        <w:spacing w:after="0" w:line="254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2C2E5C68" w14:textId="77777777" w:rsidR="008310D0" w:rsidRPr="000C68D1" w:rsidRDefault="008310D0" w:rsidP="008310D0">
      <w:pPr>
        <w:pStyle w:val="NormaleWeb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C68D1">
        <w:rPr>
          <w:rFonts w:ascii="Arial" w:hAnsi="Arial" w:cs="Arial"/>
          <w:b/>
          <w:bCs/>
          <w:color w:val="000000"/>
          <w:sz w:val="22"/>
          <w:szCs w:val="22"/>
        </w:rPr>
        <w:t>IMPATTO SUI MERCATI </w:t>
      </w:r>
    </w:p>
    <w:p w14:paraId="365FECD2" w14:textId="26C1AA29" w:rsidR="008310D0" w:rsidRPr="000C68D1" w:rsidRDefault="008310D0" w:rsidP="000C68D1">
      <w:pPr>
        <w:numPr>
          <w:ilvl w:val="0"/>
          <w:numId w:val="87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 xml:space="preserve">Le dichiarazioni di ieri di Powell </w:t>
      </w:r>
      <w:r w:rsidRPr="000C68D1">
        <w:rPr>
          <w:rFonts w:ascii="Arial" w:eastAsia="Times New Roman" w:hAnsi="Arial" w:cs="Arial"/>
          <w:color w:val="000000"/>
        </w:rPr>
        <w:t xml:space="preserve">offrono un potenziale supporto al mercato obbligazionario nelle ultime settimane dell’anno, supportando anche l’aspettativa di </w:t>
      </w:r>
      <w:r w:rsidR="000C68D1" w:rsidRPr="000C68D1">
        <w:rPr>
          <w:rFonts w:ascii="Arial" w:eastAsia="Times New Roman" w:hAnsi="Arial" w:cs="Arial"/>
          <w:color w:val="000000"/>
        </w:rPr>
        <w:t>un’</w:t>
      </w:r>
      <w:r w:rsidRPr="000C68D1">
        <w:rPr>
          <w:rFonts w:ascii="Arial" w:eastAsia="Times New Roman" w:hAnsi="Arial" w:cs="Arial"/>
          <w:b/>
          <w:bCs/>
          <w:color w:val="000000"/>
        </w:rPr>
        <w:t>ulteriore continuazione del calo tassi nel corso del 2024</w:t>
      </w:r>
      <w:r w:rsidRPr="000C68D1">
        <w:rPr>
          <w:rFonts w:ascii="Arial" w:eastAsia="Times New Roman" w:hAnsi="Arial" w:cs="Arial"/>
          <w:color w:val="000000"/>
        </w:rPr>
        <w:t>. </w:t>
      </w:r>
      <w:r w:rsidR="000C68D1" w:rsidRPr="000C68D1">
        <w:rPr>
          <w:rFonts w:ascii="Arial" w:eastAsia="Times New Roman" w:hAnsi="Arial" w:cs="Arial"/>
          <w:color w:val="000000"/>
        </w:rPr>
        <w:t>Tuttavia,</w:t>
      </w:r>
      <w:r w:rsidRPr="000C68D1">
        <w:rPr>
          <w:rFonts w:ascii="Arial" w:eastAsia="Times New Roman" w:hAnsi="Arial" w:cs="Arial"/>
          <w:color w:val="000000"/>
        </w:rPr>
        <w:t xml:space="preserve"> </w:t>
      </w:r>
      <w:r w:rsidRPr="007E5628">
        <w:rPr>
          <w:rFonts w:ascii="Arial" w:eastAsia="Times New Roman" w:hAnsi="Arial" w:cs="Arial"/>
          <w:color w:val="000000"/>
        </w:rPr>
        <w:t xml:space="preserve">tale percorso potrà comunque risentire </w:t>
      </w:r>
      <w:r w:rsidR="000C68D1" w:rsidRPr="007E5628">
        <w:rPr>
          <w:rFonts w:ascii="Arial" w:eastAsia="Times New Roman" w:hAnsi="Arial" w:cs="Arial"/>
          <w:color w:val="000000"/>
        </w:rPr>
        <w:t>delle</w:t>
      </w:r>
      <w:r w:rsidRPr="007E5628">
        <w:rPr>
          <w:rFonts w:ascii="Arial" w:eastAsia="Times New Roman" w:hAnsi="Arial" w:cs="Arial"/>
          <w:color w:val="000000"/>
        </w:rPr>
        <w:t xml:space="preserve"> numerose emissioni</w:t>
      </w:r>
      <w:r w:rsidR="000C68D1" w:rsidRPr="007E5628">
        <w:rPr>
          <w:rFonts w:ascii="Arial" w:eastAsia="Times New Roman" w:hAnsi="Arial" w:cs="Arial"/>
          <w:color w:val="000000"/>
        </w:rPr>
        <w:t>,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C68D1" w:rsidRPr="000C68D1">
        <w:rPr>
          <w:rFonts w:ascii="Arial" w:eastAsia="Times New Roman" w:hAnsi="Arial" w:cs="Arial"/>
          <w:color w:val="000000"/>
        </w:rPr>
        <w:t>soprattutto</w:t>
      </w:r>
      <w:r w:rsidRPr="000C68D1">
        <w:rPr>
          <w:rFonts w:ascii="Arial" w:eastAsia="Times New Roman" w:hAnsi="Arial" w:cs="Arial"/>
          <w:color w:val="000000"/>
        </w:rPr>
        <w:t> nel</w:t>
      </w:r>
      <w:r w:rsidR="000C68D1" w:rsidRPr="000C68D1">
        <w:rPr>
          <w:rFonts w:ascii="Arial" w:eastAsia="Times New Roman" w:hAnsi="Arial" w:cs="Arial"/>
          <w:color w:val="000000"/>
        </w:rPr>
        <w:t xml:space="preserve"> </w:t>
      </w:r>
      <w:r w:rsidRPr="000C68D1">
        <w:rPr>
          <w:rFonts w:ascii="Arial" w:eastAsia="Times New Roman" w:hAnsi="Arial" w:cs="Arial"/>
          <w:color w:val="000000"/>
        </w:rPr>
        <w:t>corso del primo semestre</w:t>
      </w:r>
      <w:r w:rsidR="000C68D1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> </w:t>
      </w:r>
    </w:p>
    <w:p w14:paraId="190D0763" w14:textId="248CFD87" w:rsidR="008310D0" w:rsidRPr="000C68D1" w:rsidRDefault="008310D0" w:rsidP="008310D0">
      <w:pPr>
        <w:numPr>
          <w:ilvl w:val="0"/>
          <w:numId w:val="87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 xml:space="preserve">Le dichiarazioni 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odierne di</w:t>
      </w:r>
      <w:r w:rsidRPr="000C68D1">
        <w:rPr>
          <w:rFonts w:ascii="Arial" w:eastAsia="Times New Roman" w:hAnsi="Arial" w:cs="Arial"/>
          <w:b/>
          <w:bCs/>
          <w:color w:val="000000"/>
        </w:rPr>
        <w:t xml:space="preserve"> Lagarde </w:t>
      </w:r>
      <w:r w:rsidRPr="000C68D1">
        <w:rPr>
          <w:rFonts w:ascii="Arial" w:eastAsia="Times New Roman" w:hAnsi="Arial" w:cs="Arial"/>
          <w:color w:val="000000"/>
        </w:rPr>
        <w:t xml:space="preserve">consolidano la percezione </w:t>
      </w:r>
      <w:r w:rsidR="000C68D1" w:rsidRPr="000C68D1">
        <w:rPr>
          <w:rFonts w:ascii="Arial" w:eastAsia="Times New Roman" w:hAnsi="Arial" w:cs="Arial"/>
          <w:color w:val="000000"/>
        </w:rPr>
        <w:t xml:space="preserve">del fatto </w:t>
      </w:r>
      <w:r w:rsidRPr="000C68D1">
        <w:rPr>
          <w:rFonts w:ascii="Arial" w:eastAsia="Times New Roman" w:hAnsi="Arial" w:cs="Arial"/>
          <w:color w:val="000000"/>
        </w:rPr>
        <w:t>che la BCE seguirà solo dopo qualche mese i tagli dei ta</w:t>
      </w:r>
      <w:r w:rsidR="000C68D1" w:rsidRPr="000C68D1">
        <w:rPr>
          <w:rFonts w:ascii="Arial" w:eastAsia="Times New Roman" w:hAnsi="Arial" w:cs="Arial"/>
          <w:color w:val="000000"/>
        </w:rPr>
        <w:t>s</w:t>
      </w:r>
      <w:r w:rsidRPr="000C68D1">
        <w:rPr>
          <w:rFonts w:ascii="Arial" w:eastAsia="Times New Roman" w:hAnsi="Arial" w:cs="Arial"/>
          <w:color w:val="000000"/>
        </w:rPr>
        <w:t>si della Fed</w:t>
      </w:r>
      <w:r w:rsidR="000C68D1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 xml:space="preserve"> </w:t>
      </w:r>
    </w:p>
    <w:p w14:paraId="0F60C7A1" w14:textId="14D68251" w:rsidR="008310D0" w:rsidRPr="000C68D1" w:rsidRDefault="008310D0" w:rsidP="008310D0">
      <w:pPr>
        <w:numPr>
          <w:ilvl w:val="0"/>
          <w:numId w:val="87"/>
        </w:numPr>
        <w:spacing w:after="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>Sul fronte valutario</w:t>
      </w:r>
      <w:r w:rsidR="000C68D1" w:rsidRPr="000C68D1">
        <w:rPr>
          <w:rFonts w:ascii="Arial" w:eastAsia="Times New Roman" w:hAnsi="Arial" w:cs="Arial"/>
          <w:b/>
          <w:bCs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> tali indicazioni depongono a favore di un posizionamento verso area 1,12/1,14 nel corso del primo semestre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 xml:space="preserve"> con possibilità di inversione verso area 1,06/1,08 nel corso dell’estate, in previsione anche dei massicci flussi di acquist</w:t>
      </w:r>
      <w:r w:rsidR="000C68D1" w:rsidRPr="000C68D1">
        <w:rPr>
          <w:rFonts w:ascii="Arial" w:eastAsia="Times New Roman" w:hAnsi="Arial" w:cs="Arial"/>
          <w:color w:val="000000"/>
        </w:rPr>
        <w:t>i</w:t>
      </w:r>
      <w:r w:rsidRPr="000C68D1">
        <w:rPr>
          <w:rFonts w:ascii="Arial" w:eastAsia="Times New Roman" w:hAnsi="Arial" w:cs="Arial"/>
          <w:color w:val="000000"/>
        </w:rPr>
        <w:t xml:space="preserve"> europei di dollari collegati all’acquisto di gas liquido per la ricostituzione delle scorte</w:t>
      </w:r>
      <w:r w:rsidR="000C68D1" w:rsidRPr="000C68D1">
        <w:rPr>
          <w:rFonts w:ascii="Arial" w:eastAsia="Times New Roman" w:hAnsi="Arial" w:cs="Arial"/>
          <w:color w:val="000000"/>
        </w:rPr>
        <w:t>.</w:t>
      </w:r>
      <w:r w:rsidRPr="000C68D1">
        <w:rPr>
          <w:rFonts w:ascii="Arial" w:eastAsia="Times New Roman" w:hAnsi="Arial" w:cs="Arial"/>
          <w:color w:val="000000"/>
        </w:rPr>
        <w:t xml:space="preserve">   </w:t>
      </w:r>
    </w:p>
    <w:p w14:paraId="6CC0676D" w14:textId="5793AE2B" w:rsidR="008310D0" w:rsidRPr="000C68D1" w:rsidRDefault="008310D0" w:rsidP="008310D0">
      <w:pPr>
        <w:numPr>
          <w:ilvl w:val="0"/>
          <w:numId w:val="87"/>
        </w:numPr>
        <w:spacing w:after="160" w:line="254" w:lineRule="auto"/>
        <w:jc w:val="both"/>
        <w:rPr>
          <w:rFonts w:ascii="Arial" w:eastAsia="Times New Roman" w:hAnsi="Arial" w:cs="Arial"/>
          <w:color w:val="000000"/>
        </w:rPr>
      </w:pPr>
      <w:r w:rsidRPr="000C68D1">
        <w:rPr>
          <w:rFonts w:ascii="Arial" w:eastAsia="Times New Roman" w:hAnsi="Arial" w:cs="Arial"/>
          <w:b/>
          <w:bCs/>
          <w:color w:val="000000"/>
        </w:rPr>
        <w:t>Sul fronte azionario</w:t>
      </w:r>
      <w:r w:rsidRPr="000C68D1">
        <w:rPr>
          <w:rFonts w:ascii="Arial" w:eastAsia="Times New Roman" w:hAnsi="Arial" w:cs="Arial"/>
          <w:color w:val="000000"/>
        </w:rPr>
        <w:t xml:space="preserve">, lo scenario di tassi che si delinea potrebbe offrire supporto soprattutto al comparto mid small cap a partire dal Russell 2000, con un occhio di riguardo per il mondo tech Usa </w:t>
      </w:r>
      <w:r w:rsidR="000C68D1" w:rsidRPr="000C68D1">
        <w:rPr>
          <w:rFonts w:ascii="Arial" w:eastAsia="Times New Roman" w:hAnsi="Arial" w:cs="Arial"/>
          <w:color w:val="000000"/>
        </w:rPr>
        <w:t xml:space="preserve">delle </w:t>
      </w:r>
      <w:r w:rsidRPr="000C68D1">
        <w:rPr>
          <w:rFonts w:ascii="Arial" w:eastAsia="Times New Roman" w:hAnsi="Arial" w:cs="Arial"/>
          <w:color w:val="000000"/>
        </w:rPr>
        <w:t>ex “</w:t>
      </w:r>
      <w:r w:rsidR="000C68D1" w:rsidRPr="000C68D1">
        <w:rPr>
          <w:rFonts w:ascii="Arial" w:eastAsia="Times New Roman" w:hAnsi="Arial" w:cs="Arial"/>
          <w:color w:val="000000"/>
        </w:rPr>
        <w:t>M</w:t>
      </w:r>
      <w:r w:rsidRPr="000C68D1">
        <w:rPr>
          <w:rFonts w:ascii="Arial" w:eastAsia="Times New Roman" w:hAnsi="Arial" w:cs="Arial"/>
          <w:color w:val="000000"/>
        </w:rPr>
        <w:t>agnifiche 7”, grazie anche al fatto che questo comparto potrebbe essere oggetto di flussi di acquisizion</w:t>
      </w:r>
      <w:r w:rsidR="000C68D1" w:rsidRPr="000C68D1">
        <w:rPr>
          <w:rFonts w:ascii="Arial" w:eastAsia="Times New Roman" w:hAnsi="Arial" w:cs="Arial"/>
          <w:color w:val="000000"/>
        </w:rPr>
        <w:t>e</w:t>
      </w:r>
      <w:r w:rsidRPr="000C68D1">
        <w:rPr>
          <w:rFonts w:ascii="Arial" w:eastAsia="Times New Roman" w:hAnsi="Arial" w:cs="Arial"/>
          <w:color w:val="000000"/>
        </w:rPr>
        <w:t xml:space="preserve"> da parte delle big tech Usa</w:t>
      </w:r>
      <w:r w:rsidR="000C68D1" w:rsidRPr="000C68D1">
        <w:rPr>
          <w:rFonts w:ascii="Arial" w:eastAsia="Times New Roman" w:hAnsi="Arial" w:cs="Arial"/>
          <w:color w:val="000000"/>
        </w:rPr>
        <w:t>,</w:t>
      </w:r>
      <w:r w:rsidRPr="000C68D1">
        <w:rPr>
          <w:rFonts w:ascii="Arial" w:eastAsia="Times New Roman" w:hAnsi="Arial" w:cs="Arial"/>
          <w:color w:val="000000"/>
        </w:rPr>
        <w:t xml:space="preserve"> con operazioni sbilanciate sulla modalità carta contro carta</w:t>
      </w:r>
      <w:r w:rsidR="000C68D1" w:rsidRPr="000C68D1">
        <w:rPr>
          <w:rFonts w:ascii="Arial" w:eastAsia="Times New Roman" w:hAnsi="Arial" w:cs="Arial"/>
          <w:color w:val="000000"/>
        </w:rPr>
        <w:t>.</w:t>
      </w: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7FCD3608" w14:textId="76B2D089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594499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594499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2BA6C97E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0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26C6464D" w:rsidR="00A76468" w:rsidRPr="00594499" w:rsidRDefault="00553C8D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1" w:history="1"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</w:hyperlink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sectPr w:rsidR="00A76468" w:rsidRPr="00594499" w:rsidSect="00BC43BE">
      <w:footerReference w:type="default" r:id="rId12"/>
      <w:headerReference w:type="first" r:id="rId13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76ED" w14:textId="77777777" w:rsidR="0044738B" w:rsidRDefault="0044738B" w:rsidP="00652E76">
      <w:pPr>
        <w:spacing w:after="0" w:line="240" w:lineRule="auto"/>
      </w:pPr>
      <w:r>
        <w:separator/>
      </w:r>
    </w:p>
  </w:endnote>
  <w:endnote w:type="continuationSeparator" w:id="0">
    <w:p w14:paraId="047DE6FF" w14:textId="77777777" w:rsidR="0044738B" w:rsidRDefault="0044738B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8CF3" w14:textId="77777777" w:rsidR="0044738B" w:rsidRDefault="0044738B" w:rsidP="00652E76">
      <w:pPr>
        <w:spacing w:after="0" w:line="240" w:lineRule="auto"/>
      </w:pPr>
      <w:r>
        <w:separator/>
      </w:r>
    </w:p>
  </w:footnote>
  <w:footnote w:type="continuationSeparator" w:id="0">
    <w:p w14:paraId="1BF19BB2" w14:textId="77777777" w:rsidR="0044738B" w:rsidRDefault="0044738B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F52234"/>
    <w:multiLevelType w:val="multilevel"/>
    <w:tmpl w:val="C4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3C4C16"/>
    <w:multiLevelType w:val="multilevel"/>
    <w:tmpl w:val="423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D24B29"/>
    <w:multiLevelType w:val="multilevel"/>
    <w:tmpl w:val="321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563539"/>
    <w:multiLevelType w:val="multilevel"/>
    <w:tmpl w:val="14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AB50AD"/>
    <w:multiLevelType w:val="multilevel"/>
    <w:tmpl w:val="1BF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D9F6309"/>
    <w:multiLevelType w:val="multilevel"/>
    <w:tmpl w:val="461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8803C2"/>
    <w:multiLevelType w:val="hybridMultilevel"/>
    <w:tmpl w:val="30A20E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70"/>
  </w:num>
  <w:num w:numId="8" w16cid:durableId="1502354731">
    <w:abstractNumId w:val="60"/>
  </w:num>
  <w:num w:numId="9" w16cid:durableId="1159007046">
    <w:abstractNumId w:val="83"/>
  </w:num>
  <w:num w:numId="10" w16cid:durableId="1071583816">
    <w:abstractNumId w:val="23"/>
  </w:num>
  <w:num w:numId="11" w16cid:durableId="1773238840">
    <w:abstractNumId w:val="74"/>
  </w:num>
  <w:num w:numId="12" w16cid:durableId="1475416074">
    <w:abstractNumId w:val="43"/>
  </w:num>
  <w:num w:numId="13" w16cid:durableId="1911310375">
    <w:abstractNumId w:val="35"/>
  </w:num>
  <w:num w:numId="14" w16cid:durableId="562133050">
    <w:abstractNumId w:val="48"/>
  </w:num>
  <w:num w:numId="15" w16cid:durableId="911350417">
    <w:abstractNumId w:val="81"/>
  </w:num>
  <w:num w:numId="16" w16cid:durableId="211770006">
    <w:abstractNumId w:val="34"/>
  </w:num>
  <w:num w:numId="17" w16cid:durableId="1675844259">
    <w:abstractNumId w:val="57"/>
  </w:num>
  <w:num w:numId="18" w16cid:durableId="1945729841">
    <w:abstractNumId w:val="30"/>
  </w:num>
  <w:num w:numId="19" w16cid:durableId="1849246288">
    <w:abstractNumId w:val="46"/>
  </w:num>
  <w:num w:numId="20" w16cid:durableId="1664627395">
    <w:abstractNumId w:val="68"/>
  </w:num>
  <w:num w:numId="21" w16cid:durableId="1930195021">
    <w:abstractNumId w:val="32"/>
  </w:num>
  <w:num w:numId="22" w16cid:durableId="1230382549">
    <w:abstractNumId w:val="41"/>
  </w:num>
  <w:num w:numId="23" w16cid:durableId="1602834213">
    <w:abstractNumId w:val="47"/>
  </w:num>
  <w:num w:numId="24" w16cid:durableId="236979604">
    <w:abstractNumId w:val="50"/>
  </w:num>
  <w:num w:numId="25" w16cid:durableId="1730954519">
    <w:abstractNumId w:val="36"/>
  </w:num>
  <w:num w:numId="26" w16cid:durableId="832911448">
    <w:abstractNumId w:val="55"/>
  </w:num>
  <w:num w:numId="27" w16cid:durableId="1350520802">
    <w:abstractNumId w:val="79"/>
  </w:num>
  <w:num w:numId="28" w16cid:durableId="2033845447">
    <w:abstractNumId w:val="10"/>
  </w:num>
  <w:num w:numId="29" w16cid:durableId="294414855">
    <w:abstractNumId w:val="63"/>
  </w:num>
  <w:num w:numId="30" w16cid:durableId="556012639">
    <w:abstractNumId w:val="84"/>
  </w:num>
  <w:num w:numId="31" w16cid:durableId="1600408554">
    <w:abstractNumId w:val="64"/>
  </w:num>
  <w:num w:numId="32" w16cid:durableId="1904828800">
    <w:abstractNumId w:val="7"/>
  </w:num>
  <w:num w:numId="33" w16cid:durableId="348222447">
    <w:abstractNumId w:val="87"/>
  </w:num>
  <w:num w:numId="34" w16cid:durableId="1788115590">
    <w:abstractNumId w:val="39"/>
  </w:num>
  <w:num w:numId="35" w16cid:durableId="354310954">
    <w:abstractNumId w:val="75"/>
  </w:num>
  <w:num w:numId="36" w16cid:durableId="135339046">
    <w:abstractNumId w:val="85"/>
  </w:num>
  <w:num w:numId="37" w16cid:durableId="1060129259">
    <w:abstractNumId w:val="21"/>
  </w:num>
  <w:num w:numId="38" w16cid:durableId="441917527">
    <w:abstractNumId w:val="18"/>
  </w:num>
  <w:num w:numId="39" w16cid:durableId="454492761">
    <w:abstractNumId w:val="67"/>
  </w:num>
  <w:num w:numId="40" w16cid:durableId="1477141141">
    <w:abstractNumId w:val="67"/>
  </w:num>
  <w:num w:numId="41" w16cid:durableId="1286542535">
    <w:abstractNumId w:val="26"/>
  </w:num>
  <w:num w:numId="42" w16cid:durableId="907417395">
    <w:abstractNumId w:val="80"/>
  </w:num>
  <w:num w:numId="43" w16cid:durableId="237640234">
    <w:abstractNumId w:val="77"/>
  </w:num>
  <w:num w:numId="44" w16cid:durableId="780763063">
    <w:abstractNumId w:val="53"/>
  </w:num>
  <w:num w:numId="45" w16cid:durableId="233198967">
    <w:abstractNumId w:val="8"/>
  </w:num>
  <w:num w:numId="46" w16cid:durableId="1793862398">
    <w:abstractNumId w:val="88"/>
  </w:num>
  <w:num w:numId="47" w16cid:durableId="726416046">
    <w:abstractNumId w:val="59"/>
  </w:num>
  <w:num w:numId="48" w16cid:durableId="1861629224">
    <w:abstractNumId w:val="19"/>
  </w:num>
  <w:num w:numId="49" w16cid:durableId="781802156">
    <w:abstractNumId w:val="28"/>
  </w:num>
  <w:num w:numId="50" w16cid:durableId="347610504">
    <w:abstractNumId w:val="29"/>
  </w:num>
  <w:num w:numId="51" w16cid:durableId="1675958090">
    <w:abstractNumId w:val="22"/>
  </w:num>
  <w:num w:numId="52" w16cid:durableId="1726296821">
    <w:abstractNumId w:val="73"/>
  </w:num>
  <w:num w:numId="53" w16cid:durableId="105128339">
    <w:abstractNumId w:val="25"/>
  </w:num>
  <w:num w:numId="54" w16cid:durableId="777528200">
    <w:abstractNumId w:val="44"/>
  </w:num>
  <w:num w:numId="55" w16cid:durableId="1927035647">
    <w:abstractNumId w:val="49"/>
  </w:num>
  <w:num w:numId="56" w16cid:durableId="391542200">
    <w:abstractNumId w:val="38"/>
  </w:num>
  <w:num w:numId="57" w16cid:durableId="1677686559">
    <w:abstractNumId w:val="86"/>
  </w:num>
  <w:num w:numId="58" w16cid:durableId="1813137580">
    <w:abstractNumId w:val="13"/>
  </w:num>
  <w:num w:numId="59" w16cid:durableId="1215392438">
    <w:abstractNumId w:val="66"/>
  </w:num>
  <w:num w:numId="60" w16cid:durableId="1760060308">
    <w:abstractNumId w:val="54"/>
  </w:num>
  <w:num w:numId="61" w16cid:durableId="598103438">
    <w:abstractNumId w:val="11"/>
  </w:num>
  <w:num w:numId="62" w16cid:durableId="1232740122">
    <w:abstractNumId w:val="15"/>
  </w:num>
  <w:num w:numId="63" w16cid:durableId="1887641720">
    <w:abstractNumId w:val="62"/>
  </w:num>
  <w:num w:numId="64" w16cid:durableId="2004428683">
    <w:abstractNumId w:val="72"/>
  </w:num>
  <w:num w:numId="65" w16cid:durableId="979647563">
    <w:abstractNumId w:val="69"/>
  </w:num>
  <w:num w:numId="66" w16cid:durableId="1721977859">
    <w:abstractNumId w:val="71"/>
  </w:num>
  <w:num w:numId="67" w16cid:durableId="987435692">
    <w:abstractNumId w:val="45"/>
  </w:num>
  <w:num w:numId="68" w16cid:durableId="637999260">
    <w:abstractNumId w:val="42"/>
  </w:num>
  <w:num w:numId="69" w16cid:durableId="635987111">
    <w:abstractNumId w:val="82"/>
  </w:num>
  <w:num w:numId="70" w16cid:durableId="209542150">
    <w:abstractNumId w:val="52"/>
  </w:num>
  <w:num w:numId="71" w16cid:durableId="1474106300">
    <w:abstractNumId w:val="76"/>
  </w:num>
  <w:num w:numId="72" w16cid:durableId="1982686861">
    <w:abstractNumId w:val="20"/>
  </w:num>
  <w:num w:numId="73" w16cid:durableId="1491676812">
    <w:abstractNumId w:val="16"/>
  </w:num>
  <w:num w:numId="74" w16cid:durableId="683940922">
    <w:abstractNumId w:val="78"/>
  </w:num>
  <w:num w:numId="75" w16cid:durableId="1818185603">
    <w:abstractNumId w:val="24"/>
  </w:num>
  <w:num w:numId="76" w16cid:durableId="1602715056">
    <w:abstractNumId w:val="17"/>
  </w:num>
  <w:num w:numId="77" w16cid:durableId="1216426844">
    <w:abstractNumId w:val="56"/>
  </w:num>
  <w:num w:numId="78" w16cid:durableId="477499641">
    <w:abstractNumId w:val="14"/>
  </w:num>
  <w:num w:numId="79" w16cid:durableId="632946703">
    <w:abstractNumId w:val="27"/>
  </w:num>
  <w:num w:numId="80" w16cid:durableId="1464814593">
    <w:abstractNumId w:val="40"/>
  </w:num>
  <w:num w:numId="81" w16cid:durableId="865947845">
    <w:abstractNumId w:val="9"/>
  </w:num>
  <w:num w:numId="82" w16cid:durableId="1314529884">
    <w:abstractNumId w:val="65"/>
  </w:num>
  <w:num w:numId="83" w16cid:durableId="23324939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196465477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00972184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327170945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1096249726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1085692193">
    <w:abstractNumId w:val="5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36CF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8D1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3E76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16F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4738B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40FD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0B4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3C8D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628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0D0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34E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5D7C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4F09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D6FAC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4452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C3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B7644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3394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115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.franzoni@bc-communi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ce.cagno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396a0322-2638-4972-8e41-bec707b884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Info BC Communication</cp:lastModifiedBy>
  <cp:revision>57</cp:revision>
  <cp:lastPrinted>2023-12-11T14:58:00Z</cp:lastPrinted>
  <dcterms:created xsi:type="dcterms:W3CDTF">2023-09-11T15:45:00Z</dcterms:created>
  <dcterms:modified xsi:type="dcterms:W3CDTF">2023-12-14T15:56:00Z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