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E922" w14:textId="65413F88" w:rsidR="0017091C" w:rsidRDefault="0017091C" w:rsidP="00B1440E">
      <w:pPr>
        <w:tabs>
          <w:tab w:val="left" w:pos="4771"/>
        </w:tabs>
        <w:rPr>
          <w:rFonts w:ascii="Calibri Light" w:hAnsi="Calibri Light" w:cs="Calibri Light"/>
        </w:rPr>
      </w:pPr>
    </w:p>
    <w:p w14:paraId="132F2DE9" w14:textId="1400ED88" w:rsidR="00852872" w:rsidRDefault="00852872" w:rsidP="00B1440E">
      <w:pPr>
        <w:tabs>
          <w:tab w:val="left" w:pos="4771"/>
        </w:tabs>
        <w:rPr>
          <w:rFonts w:ascii="Calibri Light" w:hAnsi="Calibri Light" w:cs="Calibri Light"/>
        </w:rPr>
      </w:pPr>
    </w:p>
    <w:p w14:paraId="02A5427E" w14:textId="18F48536" w:rsidR="00852872" w:rsidRDefault="00852872" w:rsidP="00B1440E">
      <w:pPr>
        <w:tabs>
          <w:tab w:val="left" w:pos="4771"/>
        </w:tabs>
        <w:rPr>
          <w:rFonts w:ascii="Calibri Light" w:hAnsi="Calibri Light" w:cs="Calibri Light"/>
        </w:rPr>
      </w:pPr>
    </w:p>
    <w:p w14:paraId="77A72D40" w14:textId="637FEFC7" w:rsidR="00852872" w:rsidRDefault="00852872" w:rsidP="00B1440E">
      <w:pPr>
        <w:tabs>
          <w:tab w:val="left" w:pos="4771"/>
        </w:tabs>
        <w:rPr>
          <w:rFonts w:ascii="Calibri Light" w:hAnsi="Calibri Light" w:cs="Calibri Light"/>
        </w:rPr>
      </w:pPr>
    </w:p>
    <w:p w14:paraId="3E1E8520" w14:textId="5392231E" w:rsidR="00852872" w:rsidRDefault="00852872" w:rsidP="00852872">
      <w:pPr>
        <w:tabs>
          <w:tab w:val="left" w:pos="4771"/>
        </w:tabs>
        <w:jc w:val="center"/>
        <w:rPr>
          <w:rFonts w:ascii="Calibri Light" w:hAnsi="Calibri Light" w:cs="Calibri Light"/>
        </w:rPr>
      </w:pPr>
      <w:r>
        <w:rPr>
          <w:noProof/>
        </w:rPr>
        <w:drawing>
          <wp:inline distT="0" distB="0" distL="0" distR="0" wp14:anchorId="285A1881" wp14:editId="236AE834">
            <wp:extent cx="2570919" cy="1571263"/>
            <wp:effectExtent l="0" t="0" r="1270" b="0"/>
            <wp:docPr id="4" name="Immagine 4" descr="COP28 — Glass Onion Fil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28 — Glass Onion Fil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40" cy="157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18FD3" w14:textId="48F7577C" w:rsidR="00852872" w:rsidRDefault="00852872" w:rsidP="00B1440E">
      <w:pPr>
        <w:tabs>
          <w:tab w:val="left" w:pos="4771"/>
        </w:tabs>
        <w:rPr>
          <w:rFonts w:ascii="Calibri Light" w:hAnsi="Calibri Light" w:cs="Calibri Light"/>
        </w:rPr>
      </w:pPr>
    </w:p>
    <w:p w14:paraId="53E414F9" w14:textId="700587FE" w:rsidR="00852872" w:rsidRDefault="00852872" w:rsidP="00B1440E">
      <w:pPr>
        <w:tabs>
          <w:tab w:val="left" w:pos="4771"/>
        </w:tabs>
        <w:rPr>
          <w:rFonts w:ascii="Calibri Light" w:hAnsi="Calibri Light" w:cs="Calibri Light"/>
        </w:rPr>
      </w:pPr>
    </w:p>
    <w:p w14:paraId="1F3F1EED" w14:textId="77777777" w:rsidR="00852872" w:rsidRDefault="00852872" w:rsidP="00B1440E">
      <w:pPr>
        <w:tabs>
          <w:tab w:val="left" w:pos="4771"/>
        </w:tabs>
        <w:rPr>
          <w:rFonts w:ascii="Calibri Light" w:hAnsi="Calibri Light" w:cs="Calibri Light"/>
        </w:rPr>
      </w:pPr>
    </w:p>
    <w:p w14:paraId="275122DB" w14:textId="77777777" w:rsidR="00852872" w:rsidRPr="00852872" w:rsidRDefault="00852872" w:rsidP="00852872">
      <w:pPr>
        <w:spacing w:before="1"/>
        <w:ind w:right="51"/>
        <w:jc w:val="center"/>
        <w:rPr>
          <w:rFonts w:ascii="Calibri"/>
          <w:color w:val="000000" w:themeColor="text1"/>
          <w:spacing w:val="-7"/>
          <w:sz w:val="32"/>
          <w:lang w:val="en-US"/>
        </w:rPr>
      </w:pPr>
      <w:proofErr w:type="spellStart"/>
      <w:r w:rsidRPr="00852872">
        <w:rPr>
          <w:rFonts w:ascii="Calibri"/>
          <w:b/>
          <w:bCs/>
          <w:color w:val="000000" w:themeColor="text1"/>
          <w:sz w:val="32"/>
          <w:lang w:val="en-US"/>
        </w:rPr>
        <w:t>Turboden</w:t>
      </w:r>
      <w:proofErr w:type="spellEnd"/>
      <w:r w:rsidRPr="00852872">
        <w:rPr>
          <w:rFonts w:ascii="Calibri"/>
          <w:b/>
          <w:bCs/>
          <w:color w:val="000000" w:themeColor="text1"/>
          <w:sz w:val="32"/>
          <w:lang w:val="en-US"/>
        </w:rPr>
        <w:t xml:space="preserve"> </w:t>
      </w:r>
      <w:proofErr w:type="spellStart"/>
      <w:r w:rsidRPr="00852872">
        <w:rPr>
          <w:rFonts w:ascii="Calibri"/>
          <w:b/>
          <w:bCs/>
          <w:color w:val="000000" w:themeColor="text1"/>
          <w:sz w:val="32"/>
          <w:lang w:val="en-US"/>
        </w:rPr>
        <w:t>SpA</w:t>
      </w:r>
      <w:proofErr w:type="spellEnd"/>
      <w:r w:rsidRPr="00852872">
        <w:rPr>
          <w:rFonts w:ascii="Calibri"/>
          <w:color w:val="000000" w:themeColor="text1"/>
          <w:sz w:val="32"/>
          <w:lang w:val="en-US"/>
        </w:rPr>
        <w:t xml:space="preserve"> High-Level side event</w:t>
      </w:r>
      <w:r w:rsidRPr="00852872">
        <w:rPr>
          <w:rFonts w:ascii="Calibri"/>
          <w:color w:val="000000" w:themeColor="text1"/>
          <w:spacing w:val="-7"/>
          <w:sz w:val="32"/>
          <w:lang w:val="en-US"/>
        </w:rPr>
        <w:t xml:space="preserve"> </w:t>
      </w:r>
    </w:p>
    <w:p w14:paraId="6EB2EF71" w14:textId="1F18FFD6" w:rsidR="00852872" w:rsidRPr="00226650" w:rsidRDefault="00852872" w:rsidP="00852872">
      <w:pPr>
        <w:spacing w:before="1"/>
        <w:ind w:right="51"/>
        <w:jc w:val="center"/>
        <w:rPr>
          <w:rFonts w:ascii="Calibri"/>
          <w:color w:val="000000" w:themeColor="text1"/>
          <w:sz w:val="32"/>
        </w:rPr>
      </w:pPr>
      <w:r w:rsidRPr="00226650">
        <w:rPr>
          <w:rFonts w:ascii="Calibri"/>
          <w:color w:val="000000" w:themeColor="text1"/>
          <w:sz w:val="32"/>
        </w:rPr>
        <w:t>COP 28 in Dubai</w:t>
      </w:r>
    </w:p>
    <w:p w14:paraId="6198B19E" w14:textId="77777777" w:rsidR="00852872" w:rsidRPr="00226650" w:rsidRDefault="00852872" w:rsidP="00852872">
      <w:pPr>
        <w:pStyle w:val="BodyText"/>
        <w:ind w:right="51"/>
        <w:jc w:val="center"/>
        <w:rPr>
          <w:rFonts w:ascii="Times New Roman"/>
          <w:lang w:val="it-IT"/>
        </w:rPr>
      </w:pPr>
    </w:p>
    <w:p w14:paraId="39E2E612" w14:textId="001808CE" w:rsidR="00852872" w:rsidRPr="00226650" w:rsidRDefault="00226650" w:rsidP="00852872">
      <w:pPr>
        <w:spacing w:before="120"/>
        <w:ind w:right="51"/>
        <w:jc w:val="center"/>
        <w:rPr>
          <w:rFonts w:ascii="Calibri"/>
          <w:b/>
          <w:i/>
          <w:color w:val="FF0000"/>
          <w:sz w:val="28"/>
        </w:rPr>
      </w:pPr>
      <w:r w:rsidRPr="00226650">
        <w:rPr>
          <w:rFonts w:ascii="Calibri"/>
          <w:b/>
          <w:i/>
          <w:color w:val="5B5B5E"/>
          <w:sz w:val="28"/>
        </w:rPr>
        <w:t xml:space="preserve">5 </w:t>
      </w:r>
      <w:proofErr w:type="gramStart"/>
      <w:r w:rsidRPr="00226650">
        <w:rPr>
          <w:rFonts w:ascii="Calibri"/>
          <w:b/>
          <w:i/>
          <w:color w:val="5B5B5E"/>
          <w:sz w:val="28"/>
        </w:rPr>
        <w:t>Dicembre</w:t>
      </w:r>
      <w:proofErr w:type="gramEnd"/>
      <w:r w:rsidR="00852872" w:rsidRPr="00226650">
        <w:rPr>
          <w:rFonts w:ascii="Calibri"/>
          <w:b/>
          <w:i/>
          <w:color w:val="5B5B5E"/>
          <w:sz w:val="28"/>
        </w:rPr>
        <w:t xml:space="preserve">, 2023, </w:t>
      </w:r>
      <w:proofErr w:type="spellStart"/>
      <w:r w:rsidR="00852872" w:rsidRPr="00226650">
        <w:rPr>
          <w:rFonts w:ascii="Calibri"/>
          <w:b/>
          <w:i/>
          <w:color w:val="5B5B5E"/>
          <w:sz w:val="28"/>
        </w:rPr>
        <w:t>hh</w:t>
      </w:r>
      <w:proofErr w:type="spellEnd"/>
      <w:r w:rsidR="00852872" w:rsidRPr="00226650">
        <w:rPr>
          <w:rFonts w:ascii="Calibri"/>
          <w:b/>
          <w:i/>
          <w:color w:val="5B5B5E"/>
          <w:sz w:val="28"/>
        </w:rPr>
        <w:t xml:space="preserve"> 13:30-15:00</w:t>
      </w:r>
      <w:r w:rsidR="00852872" w:rsidRPr="00226650">
        <w:rPr>
          <w:rFonts w:ascii="Calibri"/>
          <w:b/>
          <w:i/>
          <w:color w:val="FF0000"/>
          <w:sz w:val="28"/>
        </w:rPr>
        <w:t xml:space="preserve"> </w:t>
      </w:r>
      <w:r w:rsidR="00852872" w:rsidRPr="00226650">
        <w:rPr>
          <w:rFonts w:ascii="Calibri"/>
          <w:b/>
          <w:i/>
          <w:color w:val="5B5B5E"/>
          <w:sz w:val="28"/>
        </w:rPr>
        <w:t>(1,5 h)</w:t>
      </w:r>
      <w:r w:rsidR="00852872" w:rsidRPr="00226650">
        <w:rPr>
          <w:rFonts w:ascii="Calibri"/>
          <w:b/>
          <w:i/>
          <w:color w:val="FF0000"/>
          <w:sz w:val="28"/>
        </w:rPr>
        <w:t xml:space="preserve"> </w:t>
      </w:r>
    </w:p>
    <w:p w14:paraId="50A11B0D" w14:textId="77777777" w:rsidR="00852872" w:rsidRPr="00D01CB9" w:rsidRDefault="00852872" w:rsidP="00852872">
      <w:pPr>
        <w:spacing w:before="120"/>
        <w:ind w:right="51"/>
        <w:jc w:val="center"/>
        <w:rPr>
          <w:rFonts w:ascii="Calibri"/>
          <w:b/>
          <w:i/>
          <w:sz w:val="28"/>
        </w:rPr>
      </w:pPr>
      <w:proofErr w:type="spellStart"/>
      <w:r w:rsidRPr="00D01CB9">
        <w:rPr>
          <w:rFonts w:ascii="Calibri"/>
          <w:b/>
          <w:i/>
          <w:color w:val="5B5B5E"/>
          <w:sz w:val="28"/>
        </w:rPr>
        <w:t>Italian</w:t>
      </w:r>
      <w:proofErr w:type="spellEnd"/>
      <w:r w:rsidRPr="00D01CB9">
        <w:rPr>
          <w:rFonts w:ascii="Calibri"/>
          <w:b/>
          <w:i/>
          <w:color w:val="5B5B5E"/>
          <w:sz w:val="28"/>
        </w:rPr>
        <w:t xml:space="preserve"> </w:t>
      </w:r>
      <w:proofErr w:type="spellStart"/>
      <w:r w:rsidRPr="00D01CB9">
        <w:rPr>
          <w:rFonts w:ascii="Calibri"/>
          <w:b/>
          <w:i/>
          <w:color w:val="5B5B5E"/>
          <w:sz w:val="28"/>
        </w:rPr>
        <w:t>Pavilion</w:t>
      </w:r>
      <w:proofErr w:type="spellEnd"/>
      <w:r w:rsidRPr="00D01CB9">
        <w:rPr>
          <w:rFonts w:ascii="Calibri"/>
          <w:b/>
          <w:i/>
          <w:color w:val="5B5B5E"/>
          <w:sz w:val="28"/>
        </w:rPr>
        <w:t>, Expo City Dubai UAE</w:t>
      </w:r>
    </w:p>
    <w:p w14:paraId="4F97ABBF" w14:textId="77777777" w:rsidR="00852872" w:rsidRPr="00D01CB9" w:rsidRDefault="00852872" w:rsidP="00852872">
      <w:pPr>
        <w:pStyle w:val="BodyText"/>
        <w:spacing w:before="9"/>
        <w:ind w:right="51"/>
        <w:rPr>
          <w:rFonts w:ascii="Times New Roman"/>
          <w:sz w:val="18"/>
          <w:lang w:val="it-IT"/>
        </w:rPr>
      </w:pPr>
    </w:p>
    <w:p w14:paraId="5E11C89D" w14:textId="77777777" w:rsidR="00852872" w:rsidRPr="00D01CB9" w:rsidRDefault="00852872" w:rsidP="00852872">
      <w:pPr>
        <w:spacing w:before="1"/>
        <w:ind w:right="51"/>
        <w:jc w:val="center"/>
        <w:rPr>
          <w:rFonts w:ascii="Calibri" w:eastAsia="Calibri" w:hAnsi="Calibri" w:cs="Calibri"/>
          <w:b/>
          <w:bCs/>
          <w:i/>
          <w:iCs/>
          <w:color w:val="FF0000"/>
          <w:sz w:val="32"/>
          <w:szCs w:val="32"/>
        </w:rPr>
      </w:pPr>
    </w:p>
    <w:p w14:paraId="166F2843" w14:textId="2E1CFC80" w:rsidR="00852872" w:rsidRPr="00D01CB9" w:rsidRDefault="00852872" w:rsidP="00852872">
      <w:pPr>
        <w:spacing w:before="1"/>
        <w:ind w:right="51"/>
        <w:jc w:val="center"/>
        <w:rPr>
          <w:rFonts w:ascii="Calibri" w:eastAsia="Calibri" w:hAnsi="Calibri" w:cs="Calibri"/>
          <w:b/>
          <w:bCs/>
          <w:i/>
          <w:iCs/>
          <w:color w:val="FF0000"/>
          <w:sz w:val="32"/>
          <w:szCs w:val="32"/>
        </w:rPr>
      </w:pPr>
      <w:r w:rsidRPr="00A37ADC"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685FBE" wp14:editId="5C2DC7D9">
                <wp:simplePos x="0" y="0"/>
                <wp:positionH relativeFrom="page">
                  <wp:posOffset>667385</wp:posOffset>
                </wp:positionH>
                <wp:positionV relativeFrom="paragraph">
                  <wp:posOffset>299085</wp:posOffset>
                </wp:positionV>
                <wp:extent cx="6225540" cy="18415"/>
                <wp:effectExtent l="0" t="0" r="0" b="0"/>
                <wp:wrapTopAndBottom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55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E44CB0B" id="Rettangolo 5" o:spid="_x0000_s1026" style="position:absolute;margin-left:52.55pt;margin-top:23.55pt;width:490.2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q25AEAALQDAAAOAAAAZHJzL2Uyb0RvYy54bWysU8Fu2zAMvQ/YPwi6L46DpOuMOEWRosOA&#10;bivQ7QMYWbaFyaJGKXGyrx+lpGmw3or5IIgi+cj3SC9v9oMVO03BoKtlOZlKoZ3Cxriulj9/3H+4&#10;liJEcA1YdLqWBx3kzer9u+XoKz3DHm2jSTCIC9Xoa9nH6KuiCKrXA4QJeu3Y2SINENmkrmgIRkYf&#10;bDGbTq+KEanxhEqHwK93R6dcZfy21Sp+b9ugo7C15N5iPimfm3QWqyVUHYHvjTq1AW/oYgDjuOgZ&#10;6g4iiC2ZV1CDUYQB2zhROBTYtkbpzIHZlNN/2Dz14HXmwuIEf5Yp/D9Y9W335B8ptR78A6pfQThc&#10;9+A6fUuEY6+h4XJlEqoYfajOCckInCo241dseLSwjZg12Lc0JEBmJ/ZZ6sNZar2PQvHj1Wy2WMx5&#10;Iop95fW8XOQKUD0newrxs8ZBpEstiSeZwWH3EGJqBqrnkNw8WtPcG2uzQd1mbUnsIE09fyf0cBlm&#10;XQp2mNKOiOkls0zE0g6FaoPNgUkSHleHV50vPdIfKUZem1qG31sgLYX94lioT+U8sYrZmC8+ztig&#10;S8/m0gNOMVQtoxTH6zoed3PryXQ9VyozaYe3LG5rMvGXrk7N8mpkPU5rnHbv0s5RLz/b6i8AAAD/&#10;/wMAUEsDBBQABgAIAAAAIQBC9t8z3gAAAAoBAAAPAAAAZHJzL2Rvd25yZXYueG1sTI/BTsMwDIbv&#10;SLxDZCRuLNm0QClNJ4bEEYkNDuyWNqat1jilybbC0+Od4GT98qffn4vV5HtxxDF2gQzMZwoEUh1c&#10;R42B97fnmwxETJac7QOhgW+MsCovLwqbu3CiDR63qRFcQjG3BtqUhlzKWLfobZyFAYl3n2H0NnEc&#10;G+lGe+Jy38uFUrfS2474QmsHfGqx3m8P3sD6Plt/vS7p5WdT7XD3Ue31YlTGXF9Njw8gEk7pD4az&#10;PqtDyU5VOJCLoues9JxRA8s7nmdAZVqDqAxopUCWhfz/QvkLAAD//wMAUEsBAi0AFAAGAAgAAAAh&#10;ALaDOJL+AAAA4QEAABMAAAAAAAAAAAAAAAAAAAAAAFtDb250ZW50X1R5cGVzXS54bWxQSwECLQAU&#10;AAYACAAAACEAOP0h/9YAAACUAQAACwAAAAAAAAAAAAAAAAAvAQAAX3JlbHMvLnJlbHNQSwECLQAU&#10;AAYACAAAACEAqWqKtuQBAAC0AwAADgAAAAAAAAAAAAAAAAAuAgAAZHJzL2Uyb0RvYy54bWxQSwEC&#10;LQAUAAYACAAAACEAQvbfM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Pr="00D01CB9">
        <w:rPr>
          <w:rFonts w:ascii="Calibri" w:eastAsia="Calibri" w:hAnsi="Calibri" w:cs="Calibri"/>
          <w:b/>
          <w:bCs/>
          <w:i/>
          <w:iCs/>
          <w:color w:val="FF0000"/>
          <w:sz w:val="32"/>
          <w:szCs w:val="32"/>
        </w:rPr>
        <w:t xml:space="preserve"> TITOLO</w:t>
      </w:r>
    </w:p>
    <w:p w14:paraId="3B67B8C9" w14:textId="1528BF8E" w:rsidR="00852872" w:rsidRPr="00D01CB9" w:rsidRDefault="00852872" w:rsidP="00B1440E">
      <w:pPr>
        <w:tabs>
          <w:tab w:val="left" w:pos="4771"/>
        </w:tabs>
        <w:rPr>
          <w:rFonts w:ascii="Calibri Light" w:hAnsi="Calibri Light" w:cs="Calibri Light"/>
        </w:rPr>
      </w:pPr>
    </w:p>
    <w:p w14:paraId="63EF4154" w14:textId="77777777" w:rsidR="00D01CB9" w:rsidRPr="00B77478" w:rsidRDefault="00D01CB9" w:rsidP="00D01CB9">
      <w:pPr>
        <w:pStyle w:val="BodyText"/>
        <w:spacing w:before="11"/>
        <w:ind w:right="51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bookmarkStart w:id="0" w:name="_Hlk149563783"/>
      <w:r w:rsidRPr="00B77478">
        <w:rPr>
          <w:rFonts w:asciiTheme="minorHAnsi" w:hAnsiTheme="minorHAnsi" w:cstheme="minorHAnsi"/>
          <w:b/>
          <w:i/>
          <w:sz w:val="32"/>
          <w:szCs w:val="32"/>
        </w:rPr>
        <w:t xml:space="preserve">The role of policies, finance and technologies in energy efficiency and sustainability for the industrial sectors </w:t>
      </w:r>
    </w:p>
    <w:bookmarkEnd w:id="0"/>
    <w:p w14:paraId="6CAA3092" w14:textId="77777777" w:rsidR="00D01CB9" w:rsidRDefault="00D01CB9" w:rsidP="00D01CB9">
      <w:pPr>
        <w:pStyle w:val="BodyText"/>
        <w:spacing w:before="11"/>
        <w:ind w:right="51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581630F2" w14:textId="77777777" w:rsidR="00D01CB9" w:rsidRPr="007E5E18" w:rsidRDefault="00D01CB9" w:rsidP="00D01CB9">
      <w:pPr>
        <w:pStyle w:val="BodyText"/>
        <w:spacing w:before="11"/>
        <w:ind w:right="51"/>
        <w:jc w:val="center"/>
        <w:rPr>
          <w:rFonts w:asciiTheme="minorHAnsi" w:hAnsiTheme="minorHAnsi" w:cstheme="minorHAnsi"/>
          <w:b/>
          <w:i/>
          <w:strike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H</w:t>
      </w:r>
      <w:r w:rsidRPr="007E5E18">
        <w:rPr>
          <w:rFonts w:asciiTheme="minorHAnsi" w:hAnsiTheme="minorHAnsi" w:cstheme="minorHAnsi"/>
          <w:b/>
          <w:i/>
          <w:sz w:val="24"/>
          <w:szCs w:val="24"/>
        </w:rPr>
        <w:t>ow manufacturing and technology providers can support European industry's competitiveness</w:t>
      </w:r>
    </w:p>
    <w:p w14:paraId="6660A0EF" w14:textId="77777777" w:rsidR="00D01CB9" w:rsidRDefault="00D01CB9" w:rsidP="00D01CB9">
      <w:pPr>
        <w:pStyle w:val="BodyText"/>
        <w:spacing w:before="59" w:line="288" w:lineRule="auto"/>
        <w:ind w:right="51"/>
        <w:jc w:val="both"/>
        <w:rPr>
          <w:sz w:val="22"/>
          <w:szCs w:val="22"/>
        </w:rPr>
      </w:pPr>
    </w:p>
    <w:p w14:paraId="240AD5AE" w14:textId="77777777" w:rsidR="00D01CB9" w:rsidRPr="00B55C09" w:rsidRDefault="00D01CB9" w:rsidP="00D01CB9">
      <w:pPr>
        <w:pStyle w:val="BodyText"/>
        <w:spacing w:before="59" w:line="288" w:lineRule="auto"/>
        <w:ind w:right="51"/>
        <w:jc w:val="both"/>
        <w:rPr>
          <w:b/>
          <w:bCs/>
          <w:i/>
          <w:iCs/>
          <w:color w:val="FF0000"/>
          <w:sz w:val="22"/>
          <w:szCs w:val="22"/>
        </w:rPr>
      </w:pPr>
      <w:r w:rsidRPr="00B77478">
        <w:rPr>
          <w:sz w:val="22"/>
          <w:szCs w:val="22"/>
        </w:rPr>
        <w:t>KEYWORDS:</w:t>
      </w:r>
      <w:r>
        <w:rPr>
          <w:b/>
          <w:bCs/>
          <w:sz w:val="22"/>
          <w:szCs w:val="22"/>
        </w:rPr>
        <w:t xml:space="preserve"> #EnergyEfficiency, #WasteHeatRecovery, #NetZeroIndustryACT, #HeatPumpAccelerator, #Decarbonisation, #Policies, #Finance, #Technologies</w:t>
      </w:r>
    </w:p>
    <w:p w14:paraId="383A1970" w14:textId="77777777" w:rsidR="00226650" w:rsidRPr="009F517A" w:rsidRDefault="00226650" w:rsidP="00852872">
      <w:pPr>
        <w:pStyle w:val="Heading1"/>
        <w:spacing w:before="1"/>
        <w:ind w:right="51"/>
        <w:jc w:val="center"/>
        <w:rPr>
          <w:rFonts w:ascii="Calibri" w:eastAsia="Calibri" w:hAnsi="Calibri" w:cs="Calibri"/>
          <w:b/>
          <w:bCs/>
          <w:i/>
          <w:iCs/>
          <w:color w:val="FF0000"/>
          <w:lang w:val="en-US"/>
        </w:rPr>
      </w:pPr>
    </w:p>
    <w:p w14:paraId="23CC23E9" w14:textId="35166C00" w:rsidR="00852872" w:rsidRDefault="00852872" w:rsidP="00852872">
      <w:pPr>
        <w:pStyle w:val="Heading1"/>
        <w:spacing w:before="1"/>
        <w:ind w:right="51"/>
        <w:jc w:val="center"/>
      </w:pPr>
      <w:r w:rsidRPr="00852872">
        <w:rPr>
          <w:rFonts w:ascii="Calibri" w:eastAsia="Calibri" w:hAnsi="Calibri" w:cs="Calibri"/>
          <w:b/>
          <w:bCs/>
          <w:i/>
          <w:iCs/>
          <w:noProof/>
          <w:color w:val="FF0000"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8A7317" wp14:editId="7F6E2433">
                <wp:simplePos x="0" y="0"/>
                <wp:positionH relativeFrom="page">
                  <wp:posOffset>667385</wp:posOffset>
                </wp:positionH>
                <wp:positionV relativeFrom="paragraph">
                  <wp:posOffset>271780</wp:posOffset>
                </wp:positionV>
                <wp:extent cx="6225540" cy="18415"/>
                <wp:effectExtent l="0" t="0" r="0" b="0"/>
                <wp:wrapTopAndBottom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55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ACAD290" id="Rectangle 8" o:spid="_x0000_s1026" style="position:absolute;margin-left:52.55pt;margin-top:21.4pt;width:490.2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q25AEAALQDAAAOAAAAZHJzL2Uyb0RvYy54bWysU8Fu2zAMvQ/YPwi6L46DpOuMOEWRosOA&#10;bivQ7QMYWbaFyaJGKXGyrx+lpGmw3or5IIgi+cj3SC9v9oMVO03BoKtlOZlKoZ3Cxriulj9/3H+4&#10;liJEcA1YdLqWBx3kzer9u+XoKz3DHm2jSTCIC9Xoa9nH6KuiCKrXA4QJeu3Y2SINENmkrmgIRkYf&#10;bDGbTq+KEanxhEqHwK93R6dcZfy21Sp+b9ugo7C15N5iPimfm3QWqyVUHYHvjTq1AW/oYgDjuOgZ&#10;6g4iiC2ZV1CDUYQB2zhROBTYtkbpzIHZlNN/2Dz14HXmwuIEf5Yp/D9Y9W335B8ptR78A6pfQThc&#10;9+A6fUuEY6+h4XJlEqoYfajOCckInCo241dseLSwjZg12Lc0JEBmJ/ZZ6sNZar2PQvHj1Wy2WMx5&#10;Iop95fW8XOQKUD0newrxs8ZBpEstiSeZwWH3EGJqBqrnkNw8WtPcG2uzQd1mbUnsIE09fyf0cBlm&#10;XQp2mNKOiOkls0zE0g6FaoPNgUkSHleHV50vPdIfKUZem1qG31sgLYX94lioT+U8sYrZmC8+ztig&#10;S8/m0gNOMVQtoxTH6zoed3PryXQ9VyozaYe3LG5rMvGXrk7N8mpkPU5rnHbv0s5RLz/b6i8AAAD/&#10;/wMAUEsDBBQABgAIAAAAIQBAlN9H3gAAAAoBAAAPAAAAZHJzL2Rvd25yZXYueG1sTI/BTsMwEETv&#10;SPyDtUjcqN2ohhDiVBSJI1JbONCbkyxJ1HgdYrcNfH23JzjO7NPsTL6cXC+OOIbOk4H5TIFAqnzd&#10;UWPg4/31LgURoqXa9p7QwA8GWBbXV7nNan+iDR63sREcQiGzBtoYh0zKULXobJj5AYlvX350NrIc&#10;G1mP9sThrpeJUvfS2Y74Q2sHfGmx2m8PzsDqMV19rxf09rspd7j7LPc6GZUxtzfT8xOIiFP8g+FS&#10;n6tDwZ1Kf6A6iJ610nNGDSwSnnABVKo1iJId/QCyyOX/CcUZAAD//wMAUEsBAi0AFAAGAAgAAAAh&#10;ALaDOJL+AAAA4QEAABMAAAAAAAAAAAAAAAAAAAAAAFtDb250ZW50X1R5cGVzXS54bWxQSwECLQAU&#10;AAYACAAAACEAOP0h/9YAAACUAQAACwAAAAAAAAAAAAAAAAAvAQAAX3JlbHMvLnJlbHNQSwECLQAU&#10;AAYACAAAACEAqWqKtuQBAAC0AwAADgAAAAAAAAAAAAAAAAAuAgAAZHJzL2Uyb0RvYy54bWxQSwEC&#10;LQAUAAYACAAAACEAQJTfR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Pr="00D01CB9">
        <w:rPr>
          <w:rFonts w:ascii="Calibri" w:eastAsia="Calibri" w:hAnsi="Calibri" w:cs="Calibri"/>
          <w:b/>
          <w:bCs/>
          <w:i/>
          <w:iCs/>
          <w:color w:val="FF0000"/>
        </w:rPr>
        <w:t>Agenda</w:t>
      </w:r>
    </w:p>
    <w:p w14:paraId="6AFD415A" w14:textId="0A5E33A1" w:rsidR="00852872" w:rsidRPr="00D01CB9" w:rsidRDefault="00852872" w:rsidP="00852872">
      <w:pPr>
        <w:tabs>
          <w:tab w:val="left" w:pos="4771"/>
        </w:tabs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14:paraId="5978F1F4" w14:textId="7BC1970A" w:rsidR="00226650" w:rsidRPr="00226650" w:rsidRDefault="00D01CB9" w:rsidP="00226650">
      <w:pPr>
        <w:tabs>
          <w:tab w:val="left" w:pos="4771"/>
        </w:tabs>
        <w:rPr>
          <w:rFonts w:ascii="Calibri Light" w:hAnsi="Calibri Light" w:cs="Calibri Light"/>
          <w:sz w:val="22"/>
          <w:szCs w:val="22"/>
        </w:rPr>
      </w:pPr>
      <w:r w:rsidRPr="00226650">
        <w:rPr>
          <w:rFonts w:ascii="Calibri Light" w:hAnsi="Calibri Light" w:cs="Calibri Light"/>
          <w:sz w:val="22"/>
          <w:szCs w:val="22"/>
        </w:rPr>
        <w:t>La maggior parte delle perdite di energia nella conversione energetica, nei processi industriali e nel consumo energetico assumono la forma di calore di scarto</w:t>
      </w:r>
      <w:r w:rsidRPr="00226650">
        <w:rPr>
          <w:rFonts w:ascii="Calibri Light" w:hAnsi="Calibri Light" w:cs="Calibri Light"/>
          <w:b/>
          <w:bCs/>
          <w:sz w:val="22"/>
          <w:szCs w:val="22"/>
        </w:rPr>
        <w:t>. Il calore in eccesso è infatti la più grande fonte di energia non sfruttata al mondo. Solo in Europa, secondo gli ultimi dati, il calore in eccesso ammonta a 2.860 TWh/anno, corrispondente quasi alla domanda energetica totale dell’UE per calore e acqua calda negli edifici residenziali e dei servizi</w:t>
      </w:r>
      <w:r w:rsidR="00226650">
        <w:rPr>
          <w:rStyle w:val="FootnoteReference"/>
          <w:rFonts w:ascii="Calibri Light" w:hAnsi="Calibri Light" w:cs="Calibri Light"/>
          <w:b/>
          <w:bCs/>
          <w:sz w:val="22"/>
          <w:szCs w:val="22"/>
        </w:rPr>
        <w:footnoteReference w:id="1"/>
      </w:r>
      <w:r w:rsidRPr="00226650">
        <w:rPr>
          <w:rFonts w:ascii="Calibri Light" w:hAnsi="Calibri Light" w:cs="Calibri Light"/>
          <w:sz w:val="22"/>
          <w:szCs w:val="22"/>
        </w:rPr>
        <w:t>.</w:t>
      </w:r>
      <w:r w:rsidR="00226650" w:rsidRPr="00226650">
        <w:rPr>
          <w:rStyle w:val="FootnoteReference"/>
        </w:rPr>
        <w:t xml:space="preserve"> </w:t>
      </w:r>
    </w:p>
    <w:p w14:paraId="6DAB8083" w14:textId="0FE7098A" w:rsidR="00D01CB9" w:rsidRPr="00226650" w:rsidRDefault="00D01CB9" w:rsidP="00D01CB9">
      <w:pPr>
        <w:tabs>
          <w:tab w:val="left" w:pos="4771"/>
        </w:tabs>
        <w:rPr>
          <w:rFonts w:ascii="Calibri Light" w:hAnsi="Calibri Light" w:cs="Calibri Light"/>
          <w:sz w:val="22"/>
          <w:szCs w:val="22"/>
        </w:rPr>
      </w:pPr>
    </w:p>
    <w:p w14:paraId="1151CA80" w14:textId="77777777" w:rsidR="00226650" w:rsidRPr="00226650" w:rsidRDefault="00226650" w:rsidP="00D01CB9">
      <w:pPr>
        <w:tabs>
          <w:tab w:val="left" w:pos="4771"/>
        </w:tabs>
        <w:rPr>
          <w:rFonts w:ascii="Calibri Light" w:hAnsi="Calibri Light" w:cs="Calibri Light"/>
          <w:sz w:val="22"/>
          <w:szCs w:val="22"/>
        </w:rPr>
      </w:pPr>
    </w:p>
    <w:p w14:paraId="676E2191" w14:textId="0925FC6E" w:rsidR="00D01CB9" w:rsidRPr="00226650" w:rsidRDefault="00D01CB9" w:rsidP="00D01CB9">
      <w:pPr>
        <w:tabs>
          <w:tab w:val="left" w:pos="4771"/>
        </w:tabs>
        <w:rPr>
          <w:rFonts w:ascii="Calibri Light" w:hAnsi="Calibri Light" w:cs="Calibri Light"/>
          <w:sz w:val="22"/>
          <w:szCs w:val="22"/>
        </w:rPr>
      </w:pPr>
      <w:r w:rsidRPr="00226650">
        <w:rPr>
          <w:rFonts w:ascii="Calibri Light" w:hAnsi="Calibri Light" w:cs="Calibri Light"/>
          <w:b/>
          <w:bCs/>
          <w:sz w:val="22"/>
          <w:szCs w:val="22"/>
        </w:rPr>
        <w:t>Gli impianti industriali dei settori ad alta intensità energetica, come quello del cemento, del vetro, del settore petrolchimico, dei metalli non ferrosi e dell'acciaio, dissipano tra il 30% e il 60% dell'energia complessiva consumata sotto forma di calore disperso nell'atmosfera</w:t>
      </w:r>
      <w:r w:rsidRPr="00226650">
        <w:rPr>
          <w:rFonts w:ascii="Calibri Light" w:hAnsi="Calibri Light" w:cs="Calibri Light"/>
          <w:sz w:val="22"/>
          <w:szCs w:val="22"/>
        </w:rPr>
        <w:t>. Inoltre, nella maggior parte dei casi, questi gas di scarico devono essere raffreddati prima di essere filtrati e sfogati tramite scambiatori di calore o aggiungendo aria esterna, il che comporta un ulteriore consumo di energia e/o acqua.</w:t>
      </w:r>
    </w:p>
    <w:p w14:paraId="070A9ACF" w14:textId="77777777" w:rsidR="00D01CB9" w:rsidRPr="00226650" w:rsidRDefault="00D01CB9" w:rsidP="00D01CB9">
      <w:pPr>
        <w:tabs>
          <w:tab w:val="left" w:pos="4771"/>
        </w:tabs>
        <w:rPr>
          <w:rFonts w:ascii="Calibri Light" w:hAnsi="Calibri Light" w:cs="Calibri Light"/>
          <w:sz w:val="22"/>
          <w:szCs w:val="22"/>
        </w:rPr>
      </w:pPr>
    </w:p>
    <w:p w14:paraId="3CE1B697" w14:textId="77777777" w:rsidR="00D01CB9" w:rsidRPr="00226650" w:rsidRDefault="00D01CB9" w:rsidP="00D01CB9">
      <w:pPr>
        <w:tabs>
          <w:tab w:val="left" w:pos="4771"/>
        </w:tabs>
        <w:rPr>
          <w:rFonts w:ascii="Calibri Light" w:hAnsi="Calibri Light" w:cs="Calibri Light"/>
          <w:sz w:val="22"/>
          <w:szCs w:val="22"/>
        </w:rPr>
      </w:pPr>
      <w:r w:rsidRPr="00226650">
        <w:rPr>
          <w:rFonts w:ascii="Calibri Light" w:hAnsi="Calibri Light" w:cs="Calibri Light"/>
          <w:sz w:val="22"/>
          <w:szCs w:val="22"/>
        </w:rPr>
        <w:t>Il recupero di questo calore per l’uso in loco o per la fornitura di DHC (teleriscaldamento e raffreddamento distrettuale) potrebbe contribuire a migliorare l’efficienza energetica del sito, ridurre l’intensità di carbonio per unità prodotta, i costi energetici e/o generare nuovi flussi di entrate.</w:t>
      </w:r>
    </w:p>
    <w:p w14:paraId="3A268BF5" w14:textId="294188B5" w:rsidR="00D01CB9" w:rsidRPr="00226650" w:rsidRDefault="00D01CB9" w:rsidP="00D01CB9">
      <w:pPr>
        <w:tabs>
          <w:tab w:val="left" w:pos="4771"/>
        </w:tabs>
        <w:rPr>
          <w:rFonts w:ascii="Calibri Light" w:hAnsi="Calibri Light" w:cs="Calibri Light"/>
          <w:sz w:val="22"/>
          <w:szCs w:val="22"/>
        </w:rPr>
      </w:pPr>
      <w:r w:rsidRPr="00226650">
        <w:rPr>
          <w:rFonts w:ascii="Calibri Light" w:hAnsi="Calibri Light" w:cs="Calibri Light"/>
          <w:b/>
          <w:bCs/>
          <w:sz w:val="22"/>
          <w:szCs w:val="22"/>
        </w:rPr>
        <w:t>Il sistema di recupero del calore di scarto basato sulla tecnologia ORC</w:t>
      </w:r>
      <w:r w:rsidRPr="00226650">
        <w:rPr>
          <w:rFonts w:ascii="Calibri Light" w:hAnsi="Calibri Light" w:cs="Calibri Light"/>
          <w:sz w:val="22"/>
          <w:szCs w:val="22"/>
        </w:rPr>
        <w:t xml:space="preserve"> - </w:t>
      </w:r>
      <w:r w:rsidRPr="00226650">
        <w:rPr>
          <w:rFonts w:ascii="Calibri Light" w:hAnsi="Calibri Light" w:cs="Calibri Light"/>
          <w:b/>
          <w:bCs/>
          <w:sz w:val="22"/>
          <w:szCs w:val="22"/>
        </w:rPr>
        <w:t>ciclo organico Rankine o grandi Pompe di Calore</w:t>
      </w:r>
      <w:r w:rsidRPr="00226650">
        <w:rPr>
          <w:rFonts w:ascii="Calibri Light" w:hAnsi="Calibri Light" w:cs="Calibri Light"/>
          <w:sz w:val="22"/>
          <w:szCs w:val="22"/>
        </w:rPr>
        <w:t xml:space="preserve"> </w:t>
      </w:r>
      <w:r w:rsidRPr="00226650">
        <w:rPr>
          <w:rFonts w:ascii="Calibri Light" w:hAnsi="Calibri Light" w:cs="Calibri Light"/>
          <w:b/>
          <w:bCs/>
          <w:sz w:val="22"/>
          <w:szCs w:val="22"/>
        </w:rPr>
        <w:t>rappresenta una soluzione chiave per catturare il calore di scarto a bassa temperatura e valorizzarlo producendo energia riducendo le emissioni di CO2</w:t>
      </w:r>
      <w:r w:rsidRPr="00226650">
        <w:rPr>
          <w:rFonts w:ascii="Calibri Light" w:hAnsi="Calibri Light" w:cs="Calibri Light"/>
          <w:sz w:val="22"/>
          <w:szCs w:val="22"/>
        </w:rPr>
        <w:t xml:space="preserve"> – aprendo così la strada verso la decarbonizzazione, soprattutto per la maggior parte </w:t>
      </w:r>
      <w:r w:rsidR="00226650">
        <w:rPr>
          <w:rFonts w:ascii="Calibri Light" w:hAnsi="Calibri Light" w:cs="Calibri Light"/>
          <w:sz w:val="22"/>
          <w:szCs w:val="22"/>
        </w:rPr>
        <w:t xml:space="preserve">dei </w:t>
      </w:r>
      <w:r w:rsidRPr="00226650">
        <w:rPr>
          <w:rFonts w:ascii="Calibri Light" w:hAnsi="Calibri Light" w:cs="Calibri Light"/>
          <w:sz w:val="22"/>
          <w:szCs w:val="22"/>
        </w:rPr>
        <w:t>settori ad alta intensità energetica – ed è anche in grado di operare indipendentemente dall’utilizzo dell’acqua.</w:t>
      </w:r>
    </w:p>
    <w:p w14:paraId="73D40C52" w14:textId="77777777" w:rsidR="00D01CB9" w:rsidRPr="00226650" w:rsidRDefault="00D01CB9" w:rsidP="00D01CB9">
      <w:pPr>
        <w:tabs>
          <w:tab w:val="left" w:pos="4771"/>
        </w:tabs>
        <w:rPr>
          <w:rFonts w:ascii="Calibri Light" w:hAnsi="Calibri Light" w:cs="Calibri Light"/>
          <w:sz w:val="22"/>
          <w:szCs w:val="22"/>
        </w:rPr>
      </w:pPr>
      <w:r w:rsidRPr="00226650">
        <w:rPr>
          <w:rFonts w:ascii="Calibri Light" w:hAnsi="Calibri Light" w:cs="Calibri Light"/>
          <w:b/>
          <w:bCs/>
          <w:sz w:val="22"/>
          <w:szCs w:val="22"/>
        </w:rPr>
        <w:t>Un impianto</w:t>
      </w:r>
      <w:r w:rsidRPr="00226650">
        <w:rPr>
          <w:rFonts w:ascii="Calibri Light" w:hAnsi="Calibri Light" w:cs="Calibri Light"/>
          <w:sz w:val="22"/>
          <w:szCs w:val="22"/>
        </w:rPr>
        <w:t xml:space="preserve"> </w:t>
      </w:r>
      <w:r w:rsidRPr="00226650">
        <w:rPr>
          <w:rFonts w:ascii="Calibri Light" w:hAnsi="Calibri Light" w:cs="Calibri Light"/>
          <w:b/>
          <w:bCs/>
          <w:sz w:val="22"/>
          <w:szCs w:val="22"/>
        </w:rPr>
        <w:t>di recupero del calore di scarto</w:t>
      </w:r>
      <w:r w:rsidRPr="00226650">
        <w:rPr>
          <w:rFonts w:ascii="Calibri Light" w:hAnsi="Calibri Light" w:cs="Calibri Light"/>
          <w:sz w:val="22"/>
          <w:szCs w:val="22"/>
        </w:rPr>
        <w:t xml:space="preserve">, </w:t>
      </w:r>
      <w:r w:rsidRPr="00226650">
        <w:rPr>
          <w:rFonts w:ascii="Calibri Light" w:hAnsi="Calibri Light" w:cs="Calibri Light"/>
          <w:b/>
          <w:bCs/>
          <w:sz w:val="22"/>
          <w:szCs w:val="22"/>
        </w:rPr>
        <w:t xml:space="preserve">primo nel suo genere negli Emirati Arabi Uniti, è stato sviluppato da </w:t>
      </w:r>
      <w:proofErr w:type="spellStart"/>
      <w:r w:rsidRPr="00226650">
        <w:rPr>
          <w:rFonts w:ascii="Calibri Light" w:hAnsi="Calibri Light" w:cs="Calibri Light"/>
          <w:b/>
          <w:bCs/>
          <w:sz w:val="22"/>
          <w:szCs w:val="22"/>
        </w:rPr>
        <w:t>Turboden</w:t>
      </w:r>
      <w:proofErr w:type="spellEnd"/>
      <w:r w:rsidRPr="00226650">
        <w:rPr>
          <w:rFonts w:ascii="Calibri Light" w:hAnsi="Calibri Light" w:cs="Calibri Light"/>
          <w:b/>
          <w:bCs/>
          <w:sz w:val="22"/>
          <w:szCs w:val="22"/>
        </w:rPr>
        <w:t xml:space="preserve"> S.p.A</w:t>
      </w:r>
      <w:r w:rsidRPr="00226650">
        <w:rPr>
          <w:rFonts w:ascii="Calibri Light" w:hAnsi="Calibri Light" w:cs="Calibri Light"/>
          <w:sz w:val="22"/>
          <w:szCs w:val="22"/>
        </w:rPr>
        <w:t xml:space="preserve">., una società del gruppo Mitsubishi Heavy Industries, insieme a ENGIE Solutions GCC, a LAFARGE EMIRATES CEMENT (LEC) </w:t>
      </w:r>
      <w:r w:rsidRPr="00226650">
        <w:rPr>
          <w:rFonts w:ascii="Calibri Light" w:hAnsi="Calibri Light" w:cs="Calibri Light"/>
          <w:b/>
          <w:bCs/>
          <w:sz w:val="22"/>
          <w:szCs w:val="22"/>
        </w:rPr>
        <w:t>per la produzione e l'installazione di un sistema a ciclo organico Rankine per il recupero del calore di scarto da 10 MWe</w:t>
      </w:r>
      <w:r w:rsidRPr="00226650">
        <w:rPr>
          <w:rFonts w:ascii="Calibri Light" w:hAnsi="Calibri Light" w:cs="Calibri Light"/>
          <w:sz w:val="22"/>
          <w:szCs w:val="22"/>
        </w:rPr>
        <w:t xml:space="preserve"> presso il cementificio di Fujairah.</w:t>
      </w:r>
    </w:p>
    <w:p w14:paraId="28E98938" w14:textId="77777777" w:rsidR="00D01CB9" w:rsidRPr="00226650" w:rsidRDefault="00D01CB9" w:rsidP="00D01CB9">
      <w:pPr>
        <w:tabs>
          <w:tab w:val="left" w:pos="4771"/>
        </w:tabs>
        <w:rPr>
          <w:rFonts w:ascii="Calibri Light" w:hAnsi="Calibri Light" w:cs="Calibri Light"/>
          <w:sz w:val="22"/>
          <w:szCs w:val="22"/>
        </w:rPr>
      </w:pPr>
      <w:r w:rsidRPr="00226650">
        <w:rPr>
          <w:rFonts w:ascii="Calibri Light" w:hAnsi="Calibri Light" w:cs="Calibri Light"/>
          <w:sz w:val="22"/>
          <w:szCs w:val="22"/>
        </w:rPr>
        <w:t xml:space="preserve">Basato su un ciclo termodinamico a circuito chiuso, </w:t>
      </w:r>
      <w:r w:rsidRPr="00226650">
        <w:rPr>
          <w:rFonts w:ascii="Calibri Light" w:hAnsi="Calibri Light" w:cs="Calibri Light"/>
          <w:b/>
          <w:bCs/>
          <w:sz w:val="22"/>
          <w:szCs w:val="22"/>
        </w:rPr>
        <w:t xml:space="preserve">il sistema aiuterà LEC a evitare 29 </w:t>
      </w:r>
      <w:proofErr w:type="spellStart"/>
      <w:r w:rsidRPr="00226650">
        <w:rPr>
          <w:rFonts w:ascii="Calibri Light" w:hAnsi="Calibri Light" w:cs="Calibri Light"/>
          <w:b/>
          <w:bCs/>
          <w:sz w:val="22"/>
          <w:szCs w:val="22"/>
        </w:rPr>
        <w:t>kilotoni</w:t>
      </w:r>
      <w:proofErr w:type="spellEnd"/>
      <w:r w:rsidRPr="00226650">
        <w:rPr>
          <w:rFonts w:ascii="Calibri Light" w:hAnsi="Calibri Light" w:cs="Calibri Light"/>
          <w:b/>
          <w:bCs/>
          <w:sz w:val="22"/>
          <w:szCs w:val="22"/>
        </w:rPr>
        <w:t xml:space="preserve"> all’anno di emissioni di CO2 dalla rete, ovvero una riduzione del 28% delle emissioni legate all’energia</w:t>
      </w:r>
      <w:r w:rsidRPr="00226650">
        <w:rPr>
          <w:rFonts w:ascii="Calibri Light" w:hAnsi="Calibri Light" w:cs="Calibri Light"/>
          <w:sz w:val="22"/>
          <w:szCs w:val="22"/>
        </w:rPr>
        <w:t>.</w:t>
      </w:r>
    </w:p>
    <w:p w14:paraId="43B329BE" w14:textId="224204AF" w:rsidR="00563FC3" w:rsidRPr="00226650" w:rsidRDefault="00D01CB9" w:rsidP="00D01CB9">
      <w:pPr>
        <w:tabs>
          <w:tab w:val="left" w:pos="4771"/>
        </w:tabs>
        <w:rPr>
          <w:rFonts w:ascii="Calibri Light" w:hAnsi="Calibri Light" w:cs="Calibri Light"/>
          <w:b/>
          <w:bCs/>
          <w:sz w:val="22"/>
          <w:szCs w:val="22"/>
        </w:rPr>
      </w:pPr>
      <w:r w:rsidRPr="00226650">
        <w:rPr>
          <w:rFonts w:ascii="Calibri Light" w:hAnsi="Calibri Light" w:cs="Calibri Light"/>
          <w:b/>
          <w:bCs/>
          <w:sz w:val="22"/>
          <w:szCs w:val="22"/>
        </w:rPr>
        <w:t>Questo progetto rappresenta una soluzione per il risparmio energetico e la riduzione della CO2, nonché una tecnologia Net Zero progettata e sviluppata nell’UE, che promuove la sostenibilità ed è fondamentale per aumentare la consapevolezza delle industrie ad alta intensità energetica.</w:t>
      </w:r>
    </w:p>
    <w:p w14:paraId="6B0FB303" w14:textId="1226998D" w:rsidR="00563FC3" w:rsidRPr="00D01CB9" w:rsidRDefault="00563FC3" w:rsidP="00563FC3">
      <w:pPr>
        <w:pStyle w:val="Heading1"/>
        <w:spacing w:before="44"/>
        <w:ind w:right="51"/>
        <w:jc w:val="center"/>
        <w:rPr>
          <w:b/>
          <w:bCs/>
          <w:color w:val="FF0000"/>
        </w:rPr>
      </w:pPr>
      <w:r w:rsidRPr="00563FC3">
        <w:rPr>
          <w:b/>
          <w:bCs/>
          <w:noProof/>
          <w:color w:val="FF000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00F50A" wp14:editId="48C53ED3">
                <wp:simplePos x="0" y="0"/>
                <wp:positionH relativeFrom="page">
                  <wp:posOffset>667385</wp:posOffset>
                </wp:positionH>
                <wp:positionV relativeFrom="paragraph">
                  <wp:posOffset>299085</wp:posOffset>
                </wp:positionV>
                <wp:extent cx="6225540" cy="18415"/>
                <wp:effectExtent l="0" t="0" r="0" b="0"/>
                <wp:wrapTopAndBottom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55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4FD6A00" id="Rettangolo 6" o:spid="_x0000_s1026" style="position:absolute;margin-left:52.55pt;margin-top:23.55pt;width:490.2pt;height:1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q25AEAALQDAAAOAAAAZHJzL2Uyb0RvYy54bWysU8Fu2zAMvQ/YPwi6L46DpOuMOEWRosOA&#10;bivQ7QMYWbaFyaJGKXGyrx+lpGmw3or5IIgi+cj3SC9v9oMVO03BoKtlOZlKoZ3Cxriulj9/3H+4&#10;liJEcA1YdLqWBx3kzer9u+XoKz3DHm2jSTCIC9Xoa9nH6KuiCKrXA4QJeu3Y2SINENmkrmgIRkYf&#10;bDGbTq+KEanxhEqHwK93R6dcZfy21Sp+b9ugo7C15N5iPimfm3QWqyVUHYHvjTq1AW/oYgDjuOgZ&#10;6g4iiC2ZV1CDUYQB2zhROBTYtkbpzIHZlNN/2Dz14HXmwuIEf5Yp/D9Y9W335B8ptR78A6pfQThc&#10;9+A6fUuEY6+h4XJlEqoYfajOCckInCo241dseLSwjZg12Lc0JEBmJ/ZZ6sNZar2PQvHj1Wy2WMx5&#10;Iop95fW8XOQKUD0newrxs8ZBpEstiSeZwWH3EGJqBqrnkNw8WtPcG2uzQd1mbUnsIE09fyf0cBlm&#10;XQp2mNKOiOkls0zE0g6FaoPNgUkSHleHV50vPdIfKUZem1qG31sgLYX94lioT+U8sYrZmC8+ztig&#10;S8/m0gNOMVQtoxTH6zoed3PryXQ9VyozaYe3LG5rMvGXrk7N8mpkPU5rnHbv0s5RLz/b6i8AAAD/&#10;/wMAUEsDBBQABgAIAAAAIQBC9t8z3gAAAAoBAAAPAAAAZHJzL2Rvd25yZXYueG1sTI/BTsMwDIbv&#10;SLxDZCRuLNm0QClNJ4bEEYkNDuyWNqat1jilybbC0+Od4GT98qffn4vV5HtxxDF2gQzMZwoEUh1c&#10;R42B97fnmwxETJac7QOhgW+MsCovLwqbu3CiDR63qRFcQjG3BtqUhlzKWLfobZyFAYl3n2H0NnEc&#10;G+lGe+Jy38uFUrfS2474QmsHfGqx3m8P3sD6Plt/vS7p5WdT7XD3Ue31YlTGXF9Njw8gEk7pD4az&#10;PqtDyU5VOJCLoues9JxRA8s7nmdAZVqDqAxopUCWhfz/QvkLAAD//wMAUEsBAi0AFAAGAAgAAAAh&#10;ALaDOJL+AAAA4QEAABMAAAAAAAAAAAAAAAAAAAAAAFtDb250ZW50X1R5cGVzXS54bWxQSwECLQAU&#10;AAYACAAAACEAOP0h/9YAAACUAQAACwAAAAAAAAAAAAAAAAAvAQAAX3JlbHMvLnJlbHNQSwECLQAU&#10;AAYACAAAACEAqWqKtuQBAAC0AwAADgAAAAAAAAAAAAAAAAAuAgAAZHJzL2Uyb0RvYy54bWxQSwEC&#10;LQAUAAYACAAAACEAQvbfM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Pr="00D01CB9">
        <w:rPr>
          <w:b/>
          <w:bCs/>
          <w:noProof/>
          <w:color w:val="FF0000"/>
        </w:rPr>
        <w:t>OBIETTIVI</w:t>
      </w:r>
    </w:p>
    <w:p w14:paraId="54535C18" w14:textId="3A7B5924" w:rsidR="00563FC3" w:rsidRPr="00D01CB9" w:rsidRDefault="00563FC3" w:rsidP="00563FC3">
      <w:pPr>
        <w:pStyle w:val="BodyText"/>
        <w:spacing w:before="1"/>
        <w:ind w:right="51"/>
        <w:rPr>
          <w:rFonts w:ascii="Calibri"/>
          <w:b/>
          <w:sz w:val="16"/>
          <w:lang w:val="it-IT"/>
        </w:rPr>
      </w:pPr>
    </w:p>
    <w:p w14:paraId="398092FF" w14:textId="2EE52424" w:rsidR="00D01CB9" w:rsidRPr="00226650" w:rsidRDefault="00D01CB9" w:rsidP="00D01CB9">
      <w:pPr>
        <w:pStyle w:val="BodyText"/>
        <w:spacing w:before="1"/>
        <w:ind w:right="51"/>
        <w:rPr>
          <w:rFonts w:eastAsia="Times New Roman"/>
          <w:sz w:val="22"/>
          <w:szCs w:val="22"/>
          <w:lang w:val="it-IT" w:eastAsia="it-IT"/>
        </w:rPr>
      </w:pPr>
      <w:r w:rsidRPr="00226650">
        <w:rPr>
          <w:rFonts w:eastAsia="Times New Roman"/>
          <w:sz w:val="22"/>
          <w:szCs w:val="22"/>
          <w:lang w:val="it-IT" w:eastAsia="it-IT"/>
        </w:rPr>
        <w:t>Questo side event offrirà una piattaforma per lo scambio tra le parti interessate provenienti dall'industria difficile da abbattere, dai fornitori di tecnologia, dai policy maker e dalle istituzioni finanziarie, sulle sfide e le opportunità nell'implementazione e nella replicabilità di tali progetti di efficienza energetica in diverse aree.</w:t>
      </w:r>
    </w:p>
    <w:p w14:paraId="14941742" w14:textId="77777777" w:rsidR="00D01CB9" w:rsidRPr="00226650" w:rsidRDefault="00D01CB9" w:rsidP="00D01CB9">
      <w:pPr>
        <w:pStyle w:val="BodyText"/>
        <w:spacing w:before="1"/>
        <w:ind w:right="51"/>
        <w:rPr>
          <w:rFonts w:eastAsia="Times New Roman"/>
          <w:sz w:val="22"/>
          <w:szCs w:val="22"/>
          <w:lang w:val="it-IT" w:eastAsia="it-IT"/>
        </w:rPr>
      </w:pPr>
    </w:p>
    <w:p w14:paraId="104CF18E" w14:textId="77777777" w:rsidR="00D01CB9" w:rsidRPr="00226650" w:rsidRDefault="00D01CB9" w:rsidP="00D01CB9">
      <w:pPr>
        <w:pStyle w:val="BodyText"/>
        <w:spacing w:before="1"/>
        <w:ind w:right="51"/>
        <w:rPr>
          <w:rFonts w:eastAsia="Times New Roman"/>
          <w:sz w:val="22"/>
          <w:szCs w:val="22"/>
          <w:lang w:val="it-IT" w:eastAsia="it-IT"/>
        </w:rPr>
      </w:pPr>
      <w:r w:rsidRPr="00226650">
        <w:rPr>
          <w:rFonts w:eastAsia="Times New Roman"/>
          <w:sz w:val="22"/>
          <w:szCs w:val="22"/>
          <w:lang w:val="it-IT" w:eastAsia="it-IT"/>
        </w:rPr>
        <w:t>Con il supporto di un quadro politico adeguato e di fondi pubblici o privati per attuare progetti di sviluppo sostenibile, sarà possibile promuovere progetti replicabili di efficienza energetica in diversi paesi, con i seguenti vantaggi:</w:t>
      </w:r>
    </w:p>
    <w:p w14:paraId="72DB9F5D" w14:textId="77777777" w:rsidR="00D01CB9" w:rsidRPr="00226650" w:rsidRDefault="00D01CB9" w:rsidP="00D01CB9">
      <w:pPr>
        <w:pStyle w:val="BodyText"/>
        <w:spacing w:before="1"/>
        <w:ind w:right="51"/>
        <w:rPr>
          <w:rFonts w:eastAsia="Times New Roman"/>
          <w:sz w:val="22"/>
          <w:szCs w:val="22"/>
          <w:lang w:val="it-IT" w:eastAsia="it-IT"/>
        </w:rPr>
      </w:pPr>
      <w:r w:rsidRPr="00226650">
        <w:rPr>
          <w:rFonts w:eastAsia="Times New Roman"/>
          <w:sz w:val="22"/>
          <w:szCs w:val="22"/>
          <w:lang w:val="it-IT" w:eastAsia="it-IT"/>
        </w:rPr>
        <w:t xml:space="preserve">• </w:t>
      </w:r>
      <w:r w:rsidRPr="0096538B">
        <w:rPr>
          <w:rFonts w:eastAsia="Times New Roman"/>
          <w:b/>
          <w:bCs/>
          <w:sz w:val="22"/>
          <w:szCs w:val="22"/>
          <w:lang w:val="it-IT" w:eastAsia="it-IT"/>
        </w:rPr>
        <w:t>modernizzare le industrie difficili da abbattere;</w:t>
      </w:r>
    </w:p>
    <w:p w14:paraId="6E7D9743" w14:textId="77777777" w:rsidR="00D01CB9" w:rsidRPr="00226650" w:rsidRDefault="00D01CB9" w:rsidP="00D01CB9">
      <w:pPr>
        <w:pStyle w:val="BodyText"/>
        <w:spacing w:before="1"/>
        <w:ind w:right="51"/>
        <w:rPr>
          <w:rFonts w:eastAsia="Times New Roman"/>
          <w:sz w:val="22"/>
          <w:szCs w:val="22"/>
          <w:lang w:val="it-IT" w:eastAsia="it-IT"/>
        </w:rPr>
      </w:pPr>
      <w:r w:rsidRPr="00226650">
        <w:rPr>
          <w:rFonts w:eastAsia="Times New Roman"/>
          <w:sz w:val="22"/>
          <w:szCs w:val="22"/>
          <w:lang w:val="it-IT" w:eastAsia="it-IT"/>
        </w:rPr>
        <w:t xml:space="preserve">• benefici ambientali: il recupero del calore di scarto </w:t>
      </w:r>
      <w:r w:rsidRPr="0096538B">
        <w:rPr>
          <w:rFonts w:eastAsia="Times New Roman"/>
          <w:b/>
          <w:bCs/>
          <w:sz w:val="22"/>
          <w:szCs w:val="22"/>
          <w:lang w:val="it-IT" w:eastAsia="it-IT"/>
        </w:rPr>
        <w:t xml:space="preserve">riduce i gas serra (GHG) e le emissioni nocive come </w:t>
      </w:r>
      <w:proofErr w:type="spellStart"/>
      <w:r w:rsidRPr="0096538B">
        <w:rPr>
          <w:rFonts w:eastAsia="Times New Roman"/>
          <w:b/>
          <w:bCs/>
          <w:sz w:val="22"/>
          <w:szCs w:val="22"/>
          <w:lang w:val="it-IT" w:eastAsia="it-IT"/>
        </w:rPr>
        <w:t>SOx</w:t>
      </w:r>
      <w:proofErr w:type="spellEnd"/>
      <w:r w:rsidRPr="0096538B">
        <w:rPr>
          <w:rFonts w:eastAsia="Times New Roman"/>
          <w:b/>
          <w:bCs/>
          <w:sz w:val="22"/>
          <w:szCs w:val="22"/>
          <w:lang w:val="it-IT" w:eastAsia="it-IT"/>
        </w:rPr>
        <w:t xml:space="preserve"> e NOx</w:t>
      </w:r>
      <w:r w:rsidRPr="00226650">
        <w:rPr>
          <w:rFonts w:eastAsia="Times New Roman"/>
          <w:sz w:val="22"/>
          <w:szCs w:val="22"/>
          <w:lang w:val="it-IT" w:eastAsia="it-IT"/>
        </w:rPr>
        <w:t xml:space="preserve">, </w:t>
      </w:r>
      <w:r w:rsidRPr="0096538B">
        <w:rPr>
          <w:rFonts w:eastAsia="Times New Roman"/>
          <w:b/>
          <w:bCs/>
          <w:sz w:val="22"/>
          <w:szCs w:val="22"/>
          <w:lang w:val="it-IT" w:eastAsia="it-IT"/>
        </w:rPr>
        <w:t>riduce il consumo di acqua</w:t>
      </w:r>
      <w:r w:rsidRPr="00226650">
        <w:rPr>
          <w:rFonts w:eastAsia="Times New Roman"/>
          <w:sz w:val="22"/>
          <w:szCs w:val="22"/>
          <w:lang w:val="it-IT" w:eastAsia="it-IT"/>
        </w:rPr>
        <w:t>, con enormi benefici per il clima e la qualità dell'aria;</w:t>
      </w:r>
    </w:p>
    <w:p w14:paraId="6320D581" w14:textId="77777777" w:rsidR="00D01CB9" w:rsidRPr="00226650" w:rsidRDefault="00D01CB9" w:rsidP="00D01CB9">
      <w:pPr>
        <w:pStyle w:val="BodyText"/>
        <w:spacing w:before="1"/>
        <w:ind w:right="51"/>
        <w:rPr>
          <w:rFonts w:eastAsia="Times New Roman"/>
          <w:sz w:val="22"/>
          <w:szCs w:val="22"/>
          <w:lang w:val="it-IT" w:eastAsia="it-IT"/>
        </w:rPr>
      </w:pPr>
      <w:r w:rsidRPr="00226650">
        <w:rPr>
          <w:rFonts w:eastAsia="Times New Roman"/>
          <w:sz w:val="22"/>
          <w:szCs w:val="22"/>
          <w:lang w:val="it-IT" w:eastAsia="it-IT"/>
        </w:rPr>
        <w:t xml:space="preserve">• </w:t>
      </w:r>
      <w:r w:rsidRPr="0096538B">
        <w:rPr>
          <w:rFonts w:eastAsia="Times New Roman"/>
          <w:b/>
          <w:bCs/>
          <w:sz w:val="22"/>
          <w:szCs w:val="22"/>
          <w:lang w:val="it-IT" w:eastAsia="it-IT"/>
        </w:rPr>
        <w:t xml:space="preserve">benefici </w:t>
      </w:r>
      <w:proofErr w:type="gramStart"/>
      <w:r w:rsidRPr="0096538B">
        <w:rPr>
          <w:rFonts w:eastAsia="Times New Roman"/>
          <w:b/>
          <w:bCs/>
          <w:sz w:val="22"/>
          <w:szCs w:val="22"/>
          <w:lang w:val="it-IT" w:eastAsia="it-IT"/>
        </w:rPr>
        <w:t>socio-economici</w:t>
      </w:r>
      <w:proofErr w:type="gramEnd"/>
      <w:r w:rsidRPr="00226650">
        <w:rPr>
          <w:rFonts w:eastAsia="Times New Roman"/>
          <w:sz w:val="22"/>
          <w:szCs w:val="22"/>
          <w:lang w:val="it-IT" w:eastAsia="it-IT"/>
        </w:rPr>
        <w:t>: il recupero del calore di scarto contribuisce a rafforzare la competitività dell'industria europea e sostiene la decarbonizzazione del calore e dell'energia per le comunità locali, le imprese e le autorità pubbliche;</w:t>
      </w:r>
    </w:p>
    <w:p w14:paraId="7DABB2EA" w14:textId="77777777" w:rsidR="00D01CB9" w:rsidRPr="00226650" w:rsidRDefault="00D01CB9" w:rsidP="00D01CB9">
      <w:pPr>
        <w:pStyle w:val="BodyText"/>
        <w:spacing w:before="1"/>
        <w:ind w:right="51"/>
        <w:rPr>
          <w:rFonts w:eastAsia="Times New Roman"/>
          <w:sz w:val="22"/>
          <w:szCs w:val="22"/>
          <w:lang w:val="it-IT" w:eastAsia="it-IT"/>
        </w:rPr>
      </w:pPr>
      <w:r w:rsidRPr="00226650">
        <w:rPr>
          <w:rFonts w:eastAsia="Times New Roman"/>
          <w:sz w:val="22"/>
          <w:szCs w:val="22"/>
          <w:lang w:val="it-IT" w:eastAsia="it-IT"/>
        </w:rPr>
        <w:t xml:space="preserve">• </w:t>
      </w:r>
      <w:r w:rsidRPr="0096538B">
        <w:rPr>
          <w:rFonts w:eastAsia="Times New Roman"/>
          <w:b/>
          <w:bCs/>
          <w:sz w:val="22"/>
          <w:szCs w:val="22"/>
          <w:lang w:val="it-IT" w:eastAsia="it-IT"/>
        </w:rPr>
        <w:t>sicurezza energetica</w:t>
      </w:r>
      <w:r w:rsidRPr="00226650">
        <w:rPr>
          <w:rFonts w:eastAsia="Times New Roman"/>
          <w:sz w:val="22"/>
          <w:szCs w:val="22"/>
          <w:lang w:val="it-IT" w:eastAsia="it-IT"/>
        </w:rPr>
        <w:t>: il recupero del calore di scarto riduce la dipendenza dai combustibili fossili, come il gas, fornendo una fonte affidabile di calore e/o energia per i consumatori circostanti;</w:t>
      </w:r>
    </w:p>
    <w:p w14:paraId="3EFBC148" w14:textId="77777777" w:rsidR="00D01CB9" w:rsidRPr="00226650" w:rsidRDefault="00D01CB9" w:rsidP="00D01CB9">
      <w:pPr>
        <w:pStyle w:val="BodyText"/>
        <w:spacing w:before="1"/>
        <w:ind w:right="51"/>
        <w:rPr>
          <w:rFonts w:eastAsia="Times New Roman"/>
          <w:sz w:val="22"/>
          <w:szCs w:val="22"/>
          <w:lang w:val="it-IT" w:eastAsia="it-IT"/>
        </w:rPr>
      </w:pPr>
      <w:r w:rsidRPr="00226650">
        <w:rPr>
          <w:rFonts w:eastAsia="Times New Roman"/>
          <w:sz w:val="22"/>
          <w:szCs w:val="22"/>
          <w:lang w:val="it-IT" w:eastAsia="it-IT"/>
        </w:rPr>
        <w:t xml:space="preserve">• </w:t>
      </w:r>
      <w:r w:rsidRPr="0096538B">
        <w:rPr>
          <w:rFonts w:eastAsia="Times New Roman"/>
          <w:b/>
          <w:bCs/>
          <w:sz w:val="22"/>
          <w:szCs w:val="22"/>
          <w:lang w:val="it-IT" w:eastAsia="it-IT"/>
        </w:rPr>
        <w:t>riduzione dei costi energetici</w:t>
      </w:r>
      <w:r w:rsidRPr="00226650">
        <w:rPr>
          <w:rFonts w:eastAsia="Times New Roman"/>
          <w:sz w:val="22"/>
          <w:szCs w:val="22"/>
          <w:lang w:val="it-IT" w:eastAsia="it-IT"/>
        </w:rPr>
        <w:t>: il recupero del calore di scarto garantisce un prezzo fisso dell'energia per più di 20 anni e l'impatto dell'aumento dei costi energetici è ridotto;</w:t>
      </w:r>
    </w:p>
    <w:p w14:paraId="0780B730" w14:textId="5B32ADD0" w:rsidR="00563FC3" w:rsidRPr="0096538B" w:rsidRDefault="00D01CB9" w:rsidP="00D01CB9">
      <w:pPr>
        <w:pStyle w:val="BodyText"/>
        <w:spacing w:before="1"/>
        <w:ind w:right="51"/>
        <w:rPr>
          <w:rFonts w:eastAsia="Times New Roman"/>
          <w:b/>
          <w:bCs/>
          <w:sz w:val="22"/>
          <w:szCs w:val="22"/>
          <w:lang w:val="it-IT" w:eastAsia="it-IT"/>
        </w:rPr>
      </w:pPr>
      <w:r w:rsidRPr="00226650">
        <w:rPr>
          <w:rFonts w:eastAsia="Times New Roman"/>
          <w:sz w:val="22"/>
          <w:szCs w:val="22"/>
          <w:lang w:val="it-IT" w:eastAsia="it-IT"/>
        </w:rPr>
        <w:t xml:space="preserve">• </w:t>
      </w:r>
      <w:r w:rsidRPr="0096538B">
        <w:rPr>
          <w:rFonts w:eastAsia="Times New Roman"/>
          <w:b/>
          <w:bCs/>
          <w:sz w:val="22"/>
          <w:szCs w:val="22"/>
          <w:lang w:val="it-IT" w:eastAsia="it-IT"/>
        </w:rPr>
        <w:t>Benefici per la politica europea</w:t>
      </w:r>
      <w:r w:rsidRPr="00226650">
        <w:rPr>
          <w:rFonts w:eastAsia="Times New Roman"/>
          <w:sz w:val="22"/>
          <w:szCs w:val="22"/>
          <w:lang w:val="it-IT" w:eastAsia="it-IT"/>
        </w:rPr>
        <w:t xml:space="preserve">: il recupero del calore di scarto è una soluzione cruciale per l'Europa per raggiungere i suoi obiettivi climatici ed energetici e rappresenta una </w:t>
      </w:r>
      <w:r w:rsidRPr="0096538B">
        <w:rPr>
          <w:rFonts w:eastAsia="Times New Roman"/>
          <w:b/>
          <w:bCs/>
          <w:sz w:val="22"/>
          <w:szCs w:val="22"/>
          <w:lang w:val="it-IT" w:eastAsia="it-IT"/>
        </w:rPr>
        <w:t>tecnologia Net Zero progettata e sviluppata nell'UE</w:t>
      </w:r>
    </w:p>
    <w:p w14:paraId="7E70BF53" w14:textId="77777777" w:rsidR="00D01CB9" w:rsidRDefault="00D01CB9" w:rsidP="00563FC3">
      <w:pPr>
        <w:pStyle w:val="Heading1"/>
        <w:keepNext w:val="0"/>
        <w:keepLines w:val="0"/>
        <w:widowControl w:val="0"/>
        <w:autoSpaceDE w:val="0"/>
        <w:autoSpaceDN w:val="0"/>
        <w:spacing w:before="0"/>
        <w:ind w:right="51"/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  <w:lang w:eastAsia="en-US"/>
        </w:rPr>
      </w:pPr>
    </w:p>
    <w:p w14:paraId="0FDF060A" w14:textId="27A84BCD" w:rsidR="00563FC3" w:rsidRPr="00D01CB9" w:rsidRDefault="00563FC3" w:rsidP="00563FC3">
      <w:pPr>
        <w:pStyle w:val="Heading1"/>
        <w:keepNext w:val="0"/>
        <w:keepLines w:val="0"/>
        <w:widowControl w:val="0"/>
        <w:autoSpaceDE w:val="0"/>
        <w:autoSpaceDN w:val="0"/>
        <w:spacing w:before="0"/>
        <w:ind w:right="51"/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  <w:lang w:eastAsia="en-US"/>
        </w:rPr>
      </w:pPr>
      <w:r w:rsidRPr="00563FC3">
        <w:rPr>
          <w:rFonts w:ascii="Calibri" w:eastAsia="Calibri" w:hAnsi="Calibri" w:cs="Calibri"/>
          <w:b/>
          <w:bCs/>
          <w:noProof/>
          <w:color w:val="FF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9F75A36" wp14:editId="214CCCBE">
                <wp:simplePos x="0" y="0"/>
                <wp:positionH relativeFrom="page">
                  <wp:posOffset>667385</wp:posOffset>
                </wp:positionH>
                <wp:positionV relativeFrom="paragraph">
                  <wp:posOffset>271145</wp:posOffset>
                </wp:positionV>
                <wp:extent cx="6225540" cy="18415"/>
                <wp:effectExtent l="0" t="0" r="0" b="0"/>
                <wp:wrapTopAndBottom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55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A56B4ED" id="Rectangle 6" o:spid="_x0000_s1026" style="position:absolute;margin-left:52.55pt;margin-top:21.35pt;width:490.2pt;height:1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q25AEAALQDAAAOAAAAZHJzL2Uyb0RvYy54bWysU8Fu2zAMvQ/YPwi6L46DpOuMOEWRosOA&#10;bivQ7QMYWbaFyaJGKXGyrx+lpGmw3or5IIgi+cj3SC9v9oMVO03BoKtlOZlKoZ3Cxriulj9/3H+4&#10;liJEcA1YdLqWBx3kzer9u+XoKz3DHm2jSTCIC9Xoa9nH6KuiCKrXA4QJeu3Y2SINENmkrmgIRkYf&#10;bDGbTq+KEanxhEqHwK93R6dcZfy21Sp+b9ugo7C15N5iPimfm3QWqyVUHYHvjTq1AW/oYgDjuOgZ&#10;6g4iiC2ZV1CDUYQB2zhROBTYtkbpzIHZlNN/2Dz14HXmwuIEf5Yp/D9Y9W335B8ptR78A6pfQThc&#10;9+A6fUuEY6+h4XJlEqoYfajOCckInCo241dseLSwjZg12Lc0JEBmJ/ZZ6sNZar2PQvHj1Wy2WMx5&#10;Iop95fW8XOQKUD0newrxs8ZBpEstiSeZwWH3EGJqBqrnkNw8WtPcG2uzQd1mbUnsIE09fyf0cBlm&#10;XQp2mNKOiOkls0zE0g6FaoPNgUkSHleHV50vPdIfKUZem1qG31sgLYX94lioT+U8sYrZmC8+ztig&#10;S8/m0gNOMVQtoxTH6zoed3PryXQ9VyozaYe3LG5rMvGXrk7N8mpkPU5rnHbv0s5RLz/b6i8AAAD/&#10;/wMAUEsDBBQABgAIAAAAIQC50Kl43wAAAAoBAAAPAAAAZHJzL2Rvd25yZXYueG1sTI/BTsMwDIbv&#10;SLxDZCRuLFm1jFKaTgyJIxIbHNgtbUxbrXFKkm2Fpyc7jeNvf/r9uVxNdmBH9KF3pGA+E8CQGmd6&#10;ahV8vL/c5cBC1GT04AgV/GCAVXV9VerCuBNt8LiNLUslFAqtoItxLDgPTYdWh5kbkdLuy3mrY4q+&#10;5cbrUyq3A8+EWHKre0oXOj3ic4fNfnuwCtYP+fr7bUGvv5t6h7vPei8zL5S6vZmeHoFFnOIFhrN+&#10;UocqOdXuQCawIWUh5wlVsMjugZ0BkUsJrE4TuQRelfz/C9UfAAAA//8DAFBLAQItABQABgAIAAAA&#10;IQC2gziS/gAAAOEBAAATAAAAAAAAAAAAAAAAAAAAAABbQ29udGVudF9UeXBlc10ueG1sUEsBAi0A&#10;FAAGAAgAAAAhADj9If/WAAAAlAEAAAsAAAAAAAAAAAAAAAAALwEAAF9yZWxzLy5yZWxzUEsBAi0A&#10;FAAGAAgAAAAhAKlqirbkAQAAtAMAAA4AAAAAAAAAAAAAAAAALgIAAGRycy9lMm9Eb2MueG1sUEsB&#10;Ai0AFAAGAAgAAAAhALnQqXj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D01CB9">
        <w:rPr>
          <w:rFonts w:ascii="Calibri" w:eastAsia="Calibri" w:hAnsi="Calibri" w:cs="Calibri"/>
          <w:b/>
          <w:bCs/>
          <w:color w:val="FF0000"/>
          <w:sz w:val="28"/>
          <w:szCs w:val="28"/>
          <w:lang w:eastAsia="en-US"/>
        </w:rPr>
        <w:t>Risultati attesi</w:t>
      </w:r>
    </w:p>
    <w:p w14:paraId="583033E8" w14:textId="1045CDBA" w:rsidR="00563FC3" w:rsidRDefault="00563FC3" w:rsidP="00563FC3">
      <w:pPr>
        <w:pStyle w:val="BodyText"/>
        <w:spacing w:before="1"/>
        <w:ind w:right="51"/>
        <w:rPr>
          <w:rFonts w:eastAsia="Times New Roman"/>
          <w:sz w:val="24"/>
          <w:szCs w:val="24"/>
          <w:lang w:val="it-IT" w:eastAsia="it-IT"/>
        </w:rPr>
      </w:pPr>
    </w:p>
    <w:p w14:paraId="7C9E0617" w14:textId="77777777" w:rsidR="0096538B" w:rsidRDefault="00D01CB9" w:rsidP="00D01CB9">
      <w:pPr>
        <w:pStyle w:val="BodyText"/>
        <w:spacing w:before="1"/>
        <w:ind w:right="51"/>
        <w:rPr>
          <w:rFonts w:eastAsia="Times New Roman"/>
          <w:sz w:val="22"/>
          <w:szCs w:val="22"/>
          <w:lang w:val="it-IT" w:eastAsia="it-IT"/>
        </w:rPr>
      </w:pPr>
      <w:r w:rsidRPr="0096538B">
        <w:rPr>
          <w:rFonts w:eastAsia="Times New Roman"/>
          <w:sz w:val="22"/>
          <w:szCs w:val="22"/>
          <w:lang w:val="it-IT" w:eastAsia="it-IT"/>
        </w:rPr>
        <w:t xml:space="preserve">Tutti i partecipanti alla conferenza sono invitati a portare il proprio contributo e le proprie competenze per fornire un supporto continuo nella creazione di ambienti di investimento efficaci per un’implementazione su larga scala di </w:t>
      </w:r>
    </w:p>
    <w:p w14:paraId="5BA5756C" w14:textId="77777777" w:rsidR="0096538B" w:rsidRDefault="0096538B" w:rsidP="00D01CB9">
      <w:pPr>
        <w:pStyle w:val="BodyText"/>
        <w:spacing w:before="1"/>
        <w:ind w:right="51"/>
        <w:rPr>
          <w:rFonts w:eastAsia="Times New Roman"/>
          <w:sz w:val="22"/>
          <w:szCs w:val="22"/>
          <w:lang w:val="it-IT" w:eastAsia="it-IT"/>
        </w:rPr>
      </w:pPr>
    </w:p>
    <w:p w14:paraId="2BB37CB3" w14:textId="555C93F8" w:rsidR="00D01CB9" w:rsidRPr="0096538B" w:rsidRDefault="00D01CB9" w:rsidP="00D01CB9">
      <w:pPr>
        <w:pStyle w:val="BodyText"/>
        <w:spacing w:before="1"/>
        <w:ind w:right="51"/>
        <w:rPr>
          <w:rFonts w:eastAsia="Times New Roman"/>
          <w:sz w:val="22"/>
          <w:szCs w:val="22"/>
          <w:lang w:val="it-IT" w:eastAsia="it-IT"/>
        </w:rPr>
      </w:pPr>
      <w:r w:rsidRPr="0096538B">
        <w:rPr>
          <w:rFonts w:eastAsia="Times New Roman"/>
          <w:sz w:val="22"/>
          <w:szCs w:val="22"/>
          <w:lang w:val="it-IT" w:eastAsia="it-IT"/>
        </w:rPr>
        <w:t>soluzioni di efficienza energetica, oltre a diffondere modelli chiave e soluzioni ottimali per le prossime implementazioni su larga scala.</w:t>
      </w:r>
    </w:p>
    <w:p w14:paraId="1FC3B80B" w14:textId="77777777" w:rsidR="00D01CB9" w:rsidRPr="0096538B" w:rsidRDefault="00D01CB9" w:rsidP="00D01CB9">
      <w:pPr>
        <w:pStyle w:val="BodyText"/>
        <w:spacing w:before="1"/>
        <w:ind w:right="51"/>
        <w:rPr>
          <w:rFonts w:eastAsia="Times New Roman"/>
          <w:sz w:val="22"/>
          <w:szCs w:val="22"/>
          <w:lang w:val="it-IT" w:eastAsia="it-IT"/>
        </w:rPr>
      </w:pPr>
    </w:p>
    <w:p w14:paraId="24155F43" w14:textId="44ACE49B" w:rsidR="00563FC3" w:rsidRPr="0096538B" w:rsidRDefault="00D01CB9" w:rsidP="00D01CB9">
      <w:pPr>
        <w:pStyle w:val="BodyText"/>
        <w:spacing w:before="1"/>
        <w:ind w:right="51"/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</w:pPr>
      <w:r w:rsidRPr="0096538B">
        <w:rPr>
          <w:rFonts w:eastAsia="Times New Roman"/>
          <w:sz w:val="22"/>
          <w:szCs w:val="22"/>
          <w:lang w:val="it-IT" w:eastAsia="it-IT"/>
        </w:rPr>
        <w:t xml:space="preserve">Questo tipo di tecnologie non solo dovrebbero svolgere un ruolo cruciale nell’efficienza e nella transizione energetica a livello </w:t>
      </w:r>
      <w:r w:rsidR="0096538B">
        <w:rPr>
          <w:rFonts w:eastAsia="Times New Roman"/>
          <w:sz w:val="22"/>
          <w:szCs w:val="22"/>
          <w:lang w:val="it-IT" w:eastAsia="it-IT"/>
        </w:rPr>
        <w:t>globale</w:t>
      </w:r>
      <w:r w:rsidRPr="0096538B">
        <w:rPr>
          <w:rFonts w:eastAsia="Times New Roman"/>
          <w:sz w:val="22"/>
          <w:szCs w:val="22"/>
          <w:lang w:val="it-IT" w:eastAsia="it-IT"/>
        </w:rPr>
        <w:t>, ma rappresenteranno anche un modello per il partenariato internazionale e l’approccio multilaterale.</w:t>
      </w:r>
    </w:p>
    <w:p w14:paraId="2FBA665B" w14:textId="1749F1CE" w:rsidR="00563FC3" w:rsidRPr="003377AE" w:rsidRDefault="00563FC3" w:rsidP="00563FC3">
      <w:pPr>
        <w:pStyle w:val="BodyText"/>
        <w:spacing w:before="1"/>
        <w:ind w:right="51"/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  <w:lang w:val="it-IT"/>
        </w:rPr>
      </w:pPr>
      <w:r w:rsidRPr="003377AE">
        <w:rPr>
          <w:rFonts w:ascii="Calibri" w:eastAsia="Calibri" w:hAnsi="Calibri" w:cs="Calibri"/>
          <w:b/>
          <w:bCs/>
          <w:color w:val="FF0000"/>
          <w:sz w:val="28"/>
          <w:szCs w:val="28"/>
          <w:lang w:val="it-IT"/>
        </w:rPr>
        <w:t xml:space="preserve">Struttura e </w:t>
      </w:r>
      <w:r w:rsidRPr="00563FC3">
        <w:rPr>
          <w:rFonts w:ascii="Calibri" w:eastAsia="Calibri" w:hAnsi="Calibri" w:cs="Calibri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CF57120" wp14:editId="0F0197B8">
                <wp:simplePos x="0" y="0"/>
                <wp:positionH relativeFrom="page">
                  <wp:posOffset>667385</wp:posOffset>
                </wp:positionH>
                <wp:positionV relativeFrom="paragraph">
                  <wp:posOffset>271145</wp:posOffset>
                </wp:positionV>
                <wp:extent cx="6225540" cy="18415"/>
                <wp:effectExtent l="0" t="0" r="0" b="0"/>
                <wp:wrapTopAndBottom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55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A1F597E" id="Rectangle 5" o:spid="_x0000_s1026" style="position:absolute;margin-left:52.55pt;margin-top:21.35pt;width:490.2pt;height:1.4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q25AEAALQDAAAOAAAAZHJzL2Uyb0RvYy54bWysU8Fu2zAMvQ/YPwi6L46DpOuMOEWRosOA&#10;bivQ7QMYWbaFyaJGKXGyrx+lpGmw3or5IIgi+cj3SC9v9oMVO03BoKtlOZlKoZ3Cxriulj9/3H+4&#10;liJEcA1YdLqWBx3kzer9u+XoKz3DHm2jSTCIC9Xoa9nH6KuiCKrXA4QJeu3Y2SINENmkrmgIRkYf&#10;bDGbTq+KEanxhEqHwK93R6dcZfy21Sp+b9ugo7C15N5iPimfm3QWqyVUHYHvjTq1AW/oYgDjuOgZ&#10;6g4iiC2ZV1CDUYQB2zhROBTYtkbpzIHZlNN/2Dz14HXmwuIEf5Yp/D9Y9W335B8ptR78A6pfQThc&#10;9+A6fUuEY6+h4XJlEqoYfajOCckInCo241dseLSwjZg12Lc0JEBmJ/ZZ6sNZar2PQvHj1Wy2WMx5&#10;Iop95fW8XOQKUD0newrxs8ZBpEstiSeZwWH3EGJqBqrnkNw8WtPcG2uzQd1mbUnsIE09fyf0cBlm&#10;XQp2mNKOiOkls0zE0g6FaoPNgUkSHleHV50vPdIfKUZem1qG31sgLYX94lioT+U8sYrZmC8+ztig&#10;S8/m0gNOMVQtoxTH6zoed3PryXQ9VyozaYe3LG5rMvGXrk7N8mpkPU5rnHbv0s5RLz/b6i8AAAD/&#10;/wMAUEsDBBQABgAIAAAAIQC50Kl43wAAAAoBAAAPAAAAZHJzL2Rvd25yZXYueG1sTI/BTsMwDIbv&#10;SLxDZCRuLFm1jFKaTgyJIxIbHNgtbUxbrXFKkm2Fpyc7jeNvf/r9uVxNdmBH9KF3pGA+E8CQGmd6&#10;ahV8vL/c5cBC1GT04AgV/GCAVXV9VerCuBNt8LiNLUslFAqtoItxLDgPTYdWh5kbkdLuy3mrY4q+&#10;5cbrUyq3A8+EWHKre0oXOj3ic4fNfnuwCtYP+fr7bUGvv5t6h7vPei8zL5S6vZmeHoFFnOIFhrN+&#10;UocqOdXuQCawIWUh5wlVsMjugZ0BkUsJrE4TuQRelfz/C9UfAAAA//8DAFBLAQItABQABgAIAAAA&#10;IQC2gziS/gAAAOEBAAATAAAAAAAAAAAAAAAAAAAAAABbQ29udGVudF9UeXBlc10ueG1sUEsBAi0A&#10;FAAGAAgAAAAhADj9If/WAAAAlAEAAAsAAAAAAAAAAAAAAAAALwEAAF9yZWxzLy5yZWxzUEsBAi0A&#10;FAAGAAgAAAAhAKlqirbkAQAAtAMAAA4AAAAAAAAAAAAAAAAALgIAAGRycy9lMm9Eb2MueG1sUEsB&#10;Ai0AFAAGAAgAAAAhALnQqXj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3377AE" w:rsidRPr="003377AE">
        <w:rPr>
          <w:rFonts w:ascii="Calibri" w:eastAsia="Calibri" w:hAnsi="Calibri" w:cs="Calibri"/>
          <w:b/>
          <w:bCs/>
          <w:color w:val="FF0000"/>
          <w:sz w:val="28"/>
          <w:szCs w:val="28"/>
          <w:lang w:val="it-IT"/>
        </w:rPr>
        <w:t>p</w:t>
      </w:r>
      <w:r w:rsidR="003377AE">
        <w:rPr>
          <w:rFonts w:ascii="Calibri" w:eastAsia="Calibri" w:hAnsi="Calibri" w:cs="Calibri"/>
          <w:b/>
          <w:bCs/>
          <w:color w:val="FF0000"/>
          <w:sz w:val="28"/>
          <w:szCs w:val="28"/>
          <w:lang w:val="it-IT"/>
        </w:rPr>
        <w:t>ubblico di riferimento</w:t>
      </w:r>
    </w:p>
    <w:p w14:paraId="002A151B" w14:textId="77777777" w:rsidR="0096538B" w:rsidRDefault="0096538B" w:rsidP="00D01CB9">
      <w:pPr>
        <w:pStyle w:val="BodyText"/>
        <w:spacing w:before="1"/>
        <w:ind w:right="51"/>
        <w:rPr>
          <w:rFonts w:eastAsia="Times New Roman"/>
          <w:sz w:val="22"/>
          <w:szCs w:val="22"/>
          <w:lang w:val="it-IT" w:eastAsia="it-IT"/>
        </w:rPr>
      </w:pPr>
    </w:p>
    <w:p w14:paraId="751BE9A8" w14:textId="69786FCB" w:rsidR="00D01CB9" w:rsidRPr="0096538B" w:rsidRDefault="00D01CB9" w:rsidP="00D01CB9">
      <w:pPr>
        <w:pStyle w:val="BodyText"/>
        <w:spacing w:before="1"/>
        <w:ind w:right="51"/>
        <w:rPr>
          <w:rFonts w:eastAsia="Times New Roman"/>
          <w:sz w:val="22"/>
          <w:szCs w:val="22"/>
          <w:lang w:val="it-IT" w:eastAsia="it-IT"/>
        </w:rPr>
      </w:pPr>
      <w:r w:rsidRPr="0096538B">
        <w:rPr>
          <w:rFonts w:eastAsia="Times New Roman"/>
          <w:sz w:val="22"/>
          <w:szCs w:val="22"/>
          <w:lang w:val="it-IT" w:eastAsia="it-IT"/>
        </w:rPr>
        <w:t>La tavola rotonda è strutturata come una sessione di conferenza eco-tech di alto livello, alla quale seguirà una panoramica istituzionale sui principali temi legati all'efficienza energetica e agli scenari energetici futuri a livello mondiale</w:t>
      </w:r>
      <w:r w:rsidR="0096538B">
        <w:rPr>
          <w:rFonts w:eastAsia="Times New Roman"/>
          <w:sz w:val="22"/>
          <w:szCs w:val="22"/>
          <w:lang w:val="it-IT" w:eastAsia="it-IT"/>
        </w:rPr>
        <w:t>,</w:t>
      </w:r>
      <w:r w:rsidRPr="0096538B">
        <w:rPr>
          <w:rFonts w:eastAsia="Times New Roman"/>
          <w:sz w:val="22"/>
          <w:szCs w:val="22"/>
          <w:lang w:val="it-IT" w:eastAsia="it-IT"/>
        </w:rPr>
        <w:t xml:space="preserve"> promossa dai più alti rappresentanti delle istituzioni italiane.</w:t>
      </w:r>
    </w:p>
    <w:p w14:paraId="4ADFC259" w14:textId="77777777" w:rsidR="00D01CB9" w:rsidRPr="0096538B" w:rsidRDefault="00D01CB9" w:rsidP="00D01CB9">
      <w:pPr>
        <w:pStyle w:val="BodyText"/>
        <w:spacing w:before="1"/>
        <w:ind w:right="51"/>
        <w:rPr>
          <w:rFonts w:eastAsia="Times New Roman"/>
          <w:sz w:val="22"/>
          <w:szCs w:val="22"/>
          <w:lang w:val="it-IT" w:eastAsia="it-IT"/>
        </w:rPr>
      </w:pPr>
    </w:p>
    <w:p w14:paraId="20E942F5" w14:textId="420D0812" w:rsidR="00563FC3" w:rsidRDefault="00D01CB9" w:rsidP="00D01CB9">
      <w:pPr>
        <w:pStyle w:val="BodyText"/>
        <w:spacing w:before="1"/>
        <w:ind w:right="51"/>
        <w:rPr>
          <w:rFonts w:eastAsia="Times New Roman"/>
          <w:sz w:val="22"/>
          <w:szCs w:val="22"/>
          <w:lang w:val="it-IT" w:eastAsia="it-IT"/>
        </w:rPr>
      </w:pPr>
      <w:r w:rsidRPr="0096538B">
        <w:rPr>
          <w:rFonts w:eastAsia="Times New Roman"/>
          <w:sz w:val="22"/>
          <w:szCs w:val="22"/>
          <w:lang w:val="it-IT" w:eastAsia="it-IT"/>
        </w:rPr>
        <w:t>Il pubblico a cui si rivolge la conferenza sono esperti, politici, rappresentanti di alto livello di organizzazioni pubbliche, private, intergovernative e non governative impegnate ad aumentare la diffusione dell'efficienza energetica</w:t>
      </w:r>
      <w:r w:rsidR="00563FC3" w:rsidRPr="0096538B">
        <w:rPr>
          <w:rFonts w:eastAsia="Times New Roman"/>
          <w:sz w:val="22"/>
          <w:szCs w:val="22"/>
          <w:lang w:val="it-IT" w:eastAsia="it-IT"/>
        </w:rPr>
        <w:t>.</w:t>
      </w:r>
    </w:p>
    <w:p w14:paraId="08FB6698" w14:textId="2F9B96B5" w:rsidR="00005FD2" w:rsidRDefault="00005FD2" w:rsidP="00D01CB9">
      <w:pPr>
        <w:pStyle w:val="BodyText"/>
        <w:spacing w:before="1"/>
        <w:ind w:right="51"/>
        <w:rPr>
          <w:rFonts w:eastAsia="Times New Roman"/>
          <w:sz w:val="22"/>
          <w:szCs w:val="22"/>
          <w:lang w:val="it-IT" w:eastAsia="it-IT"/>
        </w:rPr>
      </w:pPr>
    </w:p>
    <w:p w14:paraId="7EF16E26" w14:textId="77777777" w:rsidR="00005FD2" w:rsidRPr="0096538B" w:rsidRDefault="00005FD2" w:rsidP="00D01CB9">
      <w:pPr>
        <w:pStyle w:val="BodyText"/>
        <w:spacing w:before="1"/>
        <w:ind w:right="51"/>
        <w:rPr>
          <w:rFonts w:eastAsia="Times New Roman"/>
          <w:sz w:val="22"/>
          <w:szCs w:val="22"/>
          <w:lang w:val="it-IT" w:eastAsia="it-IT"/>
        </w:rPr>
      </w:pPr>
    </w:p>
    <w:p w14:paraId="18F0556C" w14:textId="2CF1EAAE" w:rsidR="00563FC3" w:rsidRPr="00563FC3" w:rsidRDefault="00563FC3" w:rsidP="00563FC3">
      <w:pPr>
        <w:pStyle w:val="Heading1"/>
        <w:keepNext w:val="0"/>
        <w:keepLines w:val="0"/>
        <w:widowControl w:val="0"/>
        <w:autoSpaceDE w:val="0"/>
        <w:autoSpaceDN w:val="0"/>
        <w:spacing w:before="0"/>
        <w:ind w:right="51"/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  <w:lang w:eastAsia="en-US"/>
        </w:rPr>
      </w:pPr>
      <w:r w:rsidRPr="00563FC3">
        <w:rPr>
          <w:rFonts w:ascii="Calibri" w:eastAsia="Calibri" w:hAnsi="Calibri" w:cs="Calibri"/>
          <w:b/>
          <w:bCs/>
          <w:noProof/>
          <w:color w:val="FF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709E20E" wp14:editId="31321A6A">
                <wp:simplePos x="0" y="0"/>
                <wp:positionH relativeFrom="page">
                  <wp:posOffset>667385</wp:posOffset>
                </wp:positionH>
                <wp:positionV relativeFrom="paragraph">
                  <wp:posOffset>271145</wp:posOffset>
                </wp:positionV>
                <wp:extent cx="6225540" cy="18415"/>
                <wp:effectExtent l="0" t="0" r="0" b="0"/>
                <wp:wrapTopAndBottom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55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1CA708A" id="Rectangle 4" o:spid="_x0000_s1026" style="position:absolute;margin-left:52.55pt;margin-top:21.35pt;width:490.2pt;height:1.4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q25AEAALQDAAAOAAAAZHJzL2Uyb0RvYy54bWysU8Fu2zAMvQ/YPwi6L46DpOuMOEWRosOA&#10;bivQ7QMYWbaFyaJGKXGyrx+lpGmw3or5IIgi+cj3SC9v9oMVO03BoKtlOZlKoZ3Cxriulj9/3H+4&#10;liJEcA1YdLqWBx3kzer9u+XoKz3DHm2jSTCIC9Xoa9nH6KuiCKrXA4QJeu3Y2SINENmkrmgIRkYf&#10;bDGbTq+KEanxhEqHwK93R6dcZfy21Sp+b9ugo7C15N5iPimfm3QWqyVUHYHvjTq1AW/oYgDjuOgZ&#10;6g4iiC2ZV1CDUYQB2zhROBTYtkbpzIHZlNN/2Dz14HXmwuIEf5Yp/D9Y9W335B8ptR78A6pfQThc&#10;9+A6fUuEY6+h4XJlEqoYfajOCckInCo241dseLSwjZg12Lc0JEBmJ/ZZ6sNZar2PQvHj1Wy2WMx5&#10;Iop95fW8XOQKUD0newrxs8ZBpEstiSeZwWH3EGJqBqrnkNw8WtPcG2uzQd1mbUnsIE09fyf0cBlm&#10;XQp2mNKOiOkls0zE0g6FaoPNgUkSHleHV50vPdIfKUZem1qG31sgLYX94lioT+U8sYrZmC8+ztig&#10;S8/m0gNOMVQtoxTH6zoed3PryXQ9VyozaYe3LG5rMvGXrk7N8mpkPU5rnHbv0s5RLz/b6i8AAAD/&#10;/wMAUEsDBBQABgAIAAAAIQC50Kl43wAAAAoBAAAPAAAAZHJzL2Rvd25yZXYueG1sTI/BTsMwDIbv&#10;SLxDZCRuLFm1jFKaTgyJIxIbHNgtbUxbrXFKkm2Fpyc7jeNvf/r9uVxNdmBH9KF3pGA+E8CQGmd6&#10;ahV8vL/c5cBC1GT04AgV/GCAVXV9VerCuBNt8LiNLUslFAqtoItxLDgPTYdWh5kbkdLuy3mrY4q+&#10;5cbrUyq3A8+EWHKre0oXOj3ic4fNfnuwCtYP+fr7bUGvv5t6h7vPei8zL5S6vZmeHoFFnOIFhrN+&#10;UocqOdXuQCawIWUh5wlVsMjugZ0BkUsJrE4TuQRelfz/C9UfAAAA//8DAFBLAQItABQABgAIAAAA&#10;IQC2gziS/gAAAOEBAAATAAAAAAAAAAAAAAAAAAAAAABbQ29udGVudF9UeXBlc10ueG1sUEsBAi0A&#10;FAAGAAgAAAAhADj9If/WAAAAlAEAAAsAAAAAAAAAAAAAAAAALwEAAF9yZWxzLy5yZWxzUEsBAi0A&#10;FAAGAAgAAAAhAKlqirbkAQAAtAMAAA4AAAAAAAAAAAAAAAAALgIAAGRycy9lMm9Eb2MueG1sUEsB&#10;Ai0AFAAGAAgAAAAhALnQqXj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563FC3">
        <w:rPr>
          <w:rFonts w:ascii="Calibri" w:eastAsia="Calibri" w:hAnsi="Calibri" w:cs="Calibri"/>
          <w:b/>
          <w:bCs/>
          <w:color w:val="FF0000"/>
          <w:sz w:val="28"/>
          <w:szCs w:val="28"/>
          <w:lang w:eastAsia="en-US"/>
        </w:rPr>
        <w:t>Partecipanti</w:t>
      </w:r>
    </w:p>
    <w:p w14:paraId="39A910AC" w14:textId="77777777" w:rsidR="00563FC3" w:rsidRPr="00563FC3" w:rsidRDefault="00563FC3" w:rsidP="00563FC3">
      <w:pPr>
        <w:pStyle w:val="m2096129792649722231msolistparagraph"/>
        <w:spacing w:after="0" w:afterAutospacing="0"/>
        <w:ind w:right="51"/>
        <w:rPr>
          <w:rFonts w:asciiTheme="minorHAnsi" w:hAnsiTheme="minorHAnsi" w:cstheme="minorHAnsi"/>
          <w:b/>
          <w:bCs/>
        </w:rPr>
      </w:pPr>
      <w:r w:rsidRPr="00563FC3">
        <w:rPr>
          <w:rFonts w:asciiTheme="minorHAnsi" w:hAnsiTheme="minorHAnsi" w:cstheme="minorHAnsi"/>
          <w:b/>
          <w:bCs/>
        </w:rPr>
        <w:t xml:space="preserve">Side event – </w:t>
      </w:r>
      <w:proofErr w:type="spellStart"/>
      <w:r w:rsidRPr="00563FC3">
        <w:rPr>
          <w:rFonts w:asciiTheme="minorHAnsi" w:hAnsiTheme="minorHAnsi" w:cstheme="minorHAnsi"/>
          <w:b/>
          <w:bCs/>
        </w:rPr>
        <w:t>Italian</w:t>
      </w:r>
      <w:proofErr w:type="spellEnd"/>
      <w:r w:rsidRPr="00563FC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63FC3">
        <w:rPr>
          <w:rFonts w:asciiTheme="minorHAnsi" w:hAnsiTheme="minorHAnsi" w:cstheme="minorHAnsi"/>
          <w:b/>
          <w:bCs/>
        </w:rPr>
        <w:t>Pavilion</w:t>
      </w:r>
      <w:proofErr w:type="spellEnd"/>
      <w:r w:rsidRPr="00563FC3">
        <w:rPr>
          <w:rFonts w:asciiTheme="minorHAnsi" w:hAnsiTheme="minorHAnsi" w:cstheme="minorHAnsi"/>
          <w:b/>
          <w:bCs/>
        </w:rPr>
        <w:t>, Blue Zone</w:t>
      </w:r>
    </w:p>
    <w:p w14:paraId="64B3278F" w14:textId="64CDF6DE" w:rsidR="00D01CB9" w:rsidRPr="008F1C3E" w:rsidRDefault="00D01CB9" w:rsidP="00D01CB9">
      <w:pPr>
        <w:pStyle w:val="m2096129792649722231msolistparagraph"/>
        <w:spacing w:after="0" w:afterAutospacing="0"/>
        <w:ind w:right="51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Prima </w:t>
      </w:r>
      <w:proofErr w:type="spellStart"/>
      <w:r>
        <w:rPr>
          <w:rFonts w:asciiTheme="minorHAnsi" w:hAnsiTheme="minorHAnsi" w:cstheme="minorHAnsi"/>
          <w:b/>
          <w:bCs/>
          <w:lang w:val="en-US"/>
        </w:rPr>
        <w:t>parte</w:t>
      </w:r>
      <w:proofErr w:type="spellEnd"/>
      <w:r>
        <w:rPr>
          <w:rFonts w:asciiTheme="minorHAnsi" w:hAnsiTheme="minorHAnsi" w:cstheme="minorHAnsi"/>
          <w:b/>
          <w:bCs/>
          <w:lang w:val="en-US"/>
        </w:rPr>
        <w:t xml:space="preserve"> (Saluti </w:t>
      </w:r>
      <w:proofErr w:type="spellStart"/>
      <w:r>
        <w:rPr>
          <w:rFonts w:asciiTheme="minorHAnsi" w:hAnsiTheme="minorHAnsi" w:cstheme="minorHAnsi"/>
          <w:b/>
          <w:bCs/>
          <w:lang w:val="en-US"/>
        </w:rPr>
        <w:t>Istituzionali</w:t>
      </w:r>
      <w:proofErr w:type="spellEnd"/>
      <w:r>
        <w:rPr>
          <w:rFonts w:asciiTheme="minorHAnsi" w:hAnsiTheme="minorHAnsi" w:cstheme="minorHAnsi"/>
          <w:b/>
          <w:bCs/>
          <w:lang w:val="en-US"/>
        </w:rPr>
        <w:t>)</w:t>
      </w:r>
    </w:p>
    <w:p w14:paraId="2B0425F2" w14:textId="77777777" w:rsidR="00D01CB9" w:rsidRDefault="00D01CB9" w:rsidP="00D01CB9">
      <w:pPr>
        <w:pStyle w:val="m2096129792649722231msolistparagraph"/>
        <w:numPr>
          <w:ilvl w:val="0"/>
          <w:numId w:val="2"/>
        </w:numPr>
        <w:spacing w:before="0" w:beforeAutospacing="0" w:after="0" w:afterAutospacing="0"/>
        <w:ind w:right="51"/>
        <w:rPr>
          <w:rFonts w:asciiTheme="minorHAnsi" w:hAnsiTheme="minorHAnsi" w:cstheme="minorHAnsi"/>
        </w:rPr>
      </w:pPr>
      <w:r w:rsidRPr="00D01CB9">
        <w:rPr>
          <w:rFonts w:asciiTheme="minorHAnsi" w:hAnsiTheme="minorHAnsi" w:cstheme="minorHAnsi"/>
          <w:b/>
          <w:bCs/>
        </w:rPr>
        <w:t>H.E. Lorenzo Fanara</w:t>
      </w:r>
      <w:r w:rsidRPr="00D01CB9">
        <w:rPr>
          <w:rFonts w:asciiTheme="minorHAnsi" w:hAnsiTheme="minorHAnsi" w:cstheme="minorHAnsi"/>
        </w:rPr>
        <w:t xml:space="preserve"> - Ambasciatore d'Italia negli Emirati Arabi Uniti</w:t>
      </w:r>
    </w:p>
    <w:p w14:paraId="0F09D9D7" w14:textId="3C44808B" w:rsidR="00D01CB9" w:rsidRPr="00D01CB9" w:rsidRDefault="00D01CB9" w:rsidP="00D01CB9">
      <w:pPr>
        <w:pStyle w:val="m2096129792649722231msolistparagraph"/>
        <w:spacing w:before="0" w:beforeAutospacing="0" w:after="0" w:afterAutospacing="0"/>
        <w:ind w:left="720" w:right="51"/>
        <w:rPr>
          <w:rFonts w:asciiTheme="minorHAnsi" w:hAnsiTheme="minorHAnsi" w:cstheme="minorHAnsi"/>
        </w:rPr>
      </w:pPr>
      <w:r w:rsidRPr="00D01CB9">
        <w:rPr>
          <w:rFonts w:asciiTheme="minorHAnsi" w:hAnsiTheme="minorHAnsi" w:cstheme="minorHAnsi"/>
          <w:lang w:val="en-US"/>
        </w:rPr>
        <w:t xml:space="preserve">Saluti </w:t>
      </w:r>
      <w:proofErr w:type="spellStart"/>
      <w:r w:rsidRPr="00D01CB9">
        <w:rPr>
          <w:rFonts w:asciiTheme="minorHAnsi" w:hAnsiTheme="minorHAnsi" w:cstheme="minorHAnsi"/>
          <w:lang w:val="en-US"/>
        </w:rPr>
        <w:t>istituzionali</w:t>
      </w:r>
      <w:proofErr w:type="spellEnd"/>
      <w:r w:rsidRPr="00D01CB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01CB9">
        <w:rPr>
          <w:rFonts w:asciiTheme="minorHAnsi" w:hAnsiTheme="minorHAnsi" w:cstheme="minorHAnsi"/>
          <w:lang w:val="en-US"/>
        </w:rPr>
        <w:t>dell'Ambasciata</w:t>
      </w:r>
      <w:proofErr w:type="spellEnd"/>
    </w:p>
    <w:p w14:paraId="193A1F6A" w14:textId="08094514" w:rsidR="00D01CB9" w:rsidRDefault="009F517A" w:rsidP="00D01CB9">
      <w:pPr>
        <w:pStyle w:val="m2096129792649722231msolistparagraph"/>
        <w:numPr>
          <w:ilvl w:val="0"/>
          <w:numId w:val="2"/>
        </w:numPr>
        <w:spacing w:after="0" w:afterAutospacing="0"/>
        <w:ind w:right="51"/>
        <w:rPr>
          <w:rFonts w:asciiTheme="minorHAnsi" w:hAnsiTheme="minorHAnsi" w:cstheme="minorHAnsi"/>
        </w:rPr>
      </w:pPr>
      <w:r w:rsidRPr="009F517A">
        <w:rPr>
          <w:rFonts w:asciiTheme="minorHAnsi" w:hAnsiTheme="minorHAnsi" w:cstheme="minorHAnsi"/>
          <w:b/>
          <w:bCs/>
        </w:rPr>
        <w:t>H.E. Vannia Gava</w:t>
      </w:r>
      <w:r w:rsidRPr="009F517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9F517A">
        <w:rPr>
          <w:rFonts w:asciiTheme="minorHAnsi" w:hAnsiTheme="minorHAnsi" w:cstheme="minorHAnsi"/>
          <w:b/>
          <w:bCs/>
        </w:rPr>
        <w:t>H.E. Vannia Gava</w:t>
      </w:r>
      <w:r w:rsidRPr="009F517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9F517A">
        <w:rPr>
          <w:rFonts w:asciiTheme="minorHAnsi" w:hAnsiTheme="minorHAnsi" w:cstheme="minorHAnsi"/>
        </w:rPr>
        <w:t>Viceministro</w:t>
      </w:r>
      <w:r w:rsidR="00D01CB9" w:rsidRPr="00D01CB9">
        <w:rPr>
          <w:rFonts w:asciiTheme="minorHAnsi" w:hAnsiTheme="minorHAnsi" w:cstheme="minorHAnsi"/>
        </w:rPr>
        <w:t xml:space="preserve"> italiano dell'Ambiente e della Sicurezza Energetica (TBC)</w:t>
      </w:r>
    </w:p>
    <w:p w14:paraId="05EF4F19" w14:textId="7E72E7F8" w:rsidR="00D01CB9" w:rsidRPr="009F517A" w:rsidRDefault="00D01CB9" w:rsidP="00D01CB9">
      <w:pPr>
        <w:pStyle w:val="m2096129792649722231msolistparagraph"/>
        <w:spacing w:before="0" w:beforeAutospacing="0" w:after="0" w:afterAutospacing="0"/>
        <w:ind w:left="720" w:right="51"/>
        <w:rPr>
          <w:rFonts w:asciiTheme="minorHAnsi" w:hAnsiTheme="minorHAnsi" w:cstheme="minorHAnsi"/>
        </w:rPr>
      </w:pPr>
      <w:r w:rsidRPr="009F517A">
        <w:rPr>
          <w:rFonts w:asciiTheme="minorHAnsi" w:hAnsiTheme="minorHAnsi" w:cstheme="minorHAnsi"/>
        </w:rPr>
        <w:t>Discorso di apertura del Ministro</w:t>
      </w:r>
    </w:p>
    <w:p w14:paraId="67D48646" w14:textId="77777777" w:rsidR="00D01CB9" w:rsidRDefault="00D01CB9" w:rsidP="00D01CB9">
      <w:pPr>
        <w:pStyle w:val="m2096129792649722231msolistparagraph"/>
        <w:spacing w:before="0" w:beforeAutospacing="0" w:after="0" w:afterAutospacing="0"/>
        <w:ind w:right="51"/>
        <w:rPr>
          <w:rFonts w:asciiTheme="minorHAnsi" w:hAnsiTheme="minorHAnsi" w:cstheme="minorHAnsi"/>
          <w:b/>
          <w:bCs/>
        </w:rPr>
      </w:pPr>
    </w:p>
    <w:p w14:paraId="73CE68A0" w14:textId="5B1C4D76" w:rsidR="00D01CB9" w:rsidRPr="00D01CB9" w:rsidRDefault="00D01CB9" w:rsidP="00D01CB9">
      <w:pPr>
        <w:pStyle w:val="m2096129792649722231msolistparagraph"/>
        <w:spacing w:before="0" w:beforeAutospacing="0" w:after="0" w:afterAutospacing="0"/>
        <w:ind w:right="51"/>
        <w:rPr>
          <w:rFonts w:asciiTheme="minorHAnsi" w:hAnsiTheme="minorHAnsi" w:cstheme="minorHAnsi"/>
        </w:rPr>
      </w:pPr>
      <w:r w:rsidRPr="00D01CB9">
        <w:rPr>
          <w:rFonts w:asciiTheme="minorHAnsi" w:hAnsiTheme="minorHAnsi" w:cstheme="minorHAnsi"/>
          <w:b/>
          <w:bCs/>
        </w:rPr>
        <w:t xml:space="preserve">Seconda parte (round </w:t>
      </w:r>
      <w:proofErr w:type="spellStart"/>
      <w:r w:rsidRPr="00D01CB9">
        <w:rPr>
          <w:rFonts w:asciiTheme="minorHAnsi" w:hAnsiTheme="minorHAnsi" w:cstheme="minorHAnsi"/>
          <w:b/>
          <w:bCs/>
        </w:rPr>
        <w:t>table</w:t>
      </w:r>
      <w:proofErr w:type="spellEnd"/>
      <w:r w:rsidRPr="00D01CB9">
        <w:rPr>
          <w:rFonts w:asciiTheme="minorHAnsi" w:hAnsiTheme="minorHAnsi" w:cstheme="minorHAnsi"/>
          <w:b/>
          <w:bCs/>
        </w:rPr>
        <w:t>)</w:t>
      </w:r>
    </w:p>
    <w:p w14:paraId="428D1B92" w14:textId="77777777" w:rsidR="009F517A" w:rsidRPr="00FD37B5" w:rsidRDefault="009F517A" w:rsidP="009F517A">
      <w:pPr>
        <w:pStyle w:val="m2096129792649722231msolistparagraph"/>
        <w:numPr>
          <w:ilvl w:val="0"/>
          <w:numId w:val="2"/>
        </w:numPr>
        <w:spacing w:before="0" w:beforeAutospacing="0" w:after="0" w:afterAutospacing="0"/>
        <w:ind w:left="426" w:right="51" w:hanging="284"/>
        <w:rPr>
          <w:rFonts w:asciiTheme="minorHAnsi" w:hAnsiTheme="minorHAnsi" w:cstheme="minorHAnsi"/>
          <w:b/>
          <w:bCs/>
        </w:rPr>
      </w:pPr>
      <w:proofErr w:type="spellStart"/>
      <w:r w:rsidRPr="00FD37B5">
        <w:rPr>
          <w:rFonts w:asciiTheme="minorHAnsi" w:hAnsiTheme="minorHAnsi" w:cstheme="minorHAnsi"/>
          <w:b/>
          <w:bCs/>
        </w:rPr>
        <w:t>Ms</w:t>
      </w:r>
      <w:proofErr w:type="spellEnd"/>
      <w:r w:rsidRPr="00FD37B5">
        <w:rPr>
          <w:rFonts w:asciiTheme="minorHAnsi" w:hAnsiTheme="minorHAnsi" w:cstheme="minorHAnsi"/>
          <w:b/>
          <w:bCs/>
        </w:rPr>
        <w:t xml:space="preserve"> Beatriz </w:t>
      </w:r>
      <w:proofErr w:type="spellStart"/>
      <w:r w:rsidRPr="00FD37B5">
        <w:rPr>
          <w:rFonts w:asciiTheme="minorHAnsi" w:hAnsiTheme="minorHAnsi" w:cstheme="minorHAnsi"/>
          <w:b/>
          <w:bCs/>
        </w:rPr>
        <w:t>Yordi</w:t>
      </w:r>
      <w:proofErr w:type="spellEnd"/>
      <w:r>
        <w:rPr>
          <w:rFonts w:asciiTheme="minorHAnsi" w:hAnsiTheme="minorHAnsi" w:cstheme="minorHAnsi"/>
          <w:b/>
          <w:bCs/>
        </w:rPr>
        <w:t xml:space="preserve">, </w:t>
      </w:r>
      <w:r w:rsidRPr="00FD37B5">
        <w:rPr>
          <w:rFonts w:asciiTheme="minorHAnsi" w:hAnsiTheme="minorHAnsi" w:cstheme="minorHAnsi"/>
        </w:rPr>
        <w:t xml:space="preserve">Director, European &amp; International Carbon Markets, European Commission, </w:t>
      </w:r>
      <w:proofErr w:type="spellStart"/>
      <w:r w:rsidRPr="00FD37B5">
        <w:rPr>
          <w:rFonts w:asciiTheme="minorHAnsi" w:hAnsiTheme="minorHAnsi" w:cstheme="minorHAnsi"/>
        </w:rPr>
        <w:t>Directorate</w:t>
      </w:r>
      <w:proofErr w:type="spellEnd"/>
      <w:r w:rsidRPr="00FD37B5">
        <w:rPr>
          <w:rFonts w:asciiTheme="minorHAnsi" w:hAnsiTheme="minorHAnsi" w:cstheme="minorHAnsi"/>
        </w:rPr>
        <w:t xml:space="preserve"> General for </w:t>
      </w:r>
      <w:proofErr w:type="spellStart"/>
      <w:r w:rsidRPr="00FD37B5">
        <w:rPr>
          <w:rFonts w:asciiTheme="minorHAnsi" w:hAnsiTheme="minorHAnsi" w:cstheme="minorHAnsi"/>
        </w:rPr>
        <w:t>Climate</w:t>
      </w:r>
      <w:proofErr w:type="spellEnd"/>
      <w:r w:rsidRPr="00FD37B5">
        <w:rPr>
          <w:rFonts w:asciiTheme="minorHAnsi" w:hAnsiTheme="minorHAnsi" w:cstheme="minorHAnsi"/>
        </w:rPr>
        <w:t xml:space="preserve"> Action (CLIMA),</w:t>
      </w:r>
    </w:p>
    <w:p w14:paraId="3A6789F4" w14:textId="77777777" w:rsidR="009F517A" w:rsidRPr="009F517A" w:rsidRDefault="009F517A" w:rsidP="009F517A">
      <w:pPr>
        <w:pStyle w:val="ListParagraph"/>
        <w:widowControl w:val="0"/>
        <w:numPr>
          <w:ilvl w:val="0"/>
          <w:numId w:val="2"/>
        </w:numPr>
        <w:autoSpaceDE w:val="0"/>
        <w:autoSpaceDN w:val="0"/>
        <w:ind w:left="426" w:right="51" w:hanging="284"/>
        <w:contextualSpacing w:val="0"/>
        <w:rPr>
          <w:rFonts w:asciiTheme="minorHAnsi" w:hAnsiTheme="minorHAnsi" w:cstheme="minorHAnsi"/>
          <w:lang w:val="en-US"/>
        </w:rPr>
      </w:pPr>
      <w:r w:rsidRPr="00005FD2">
        <w:rPr>
          <w:rFonts w:asciiTheme="minorHAnsi" w:eastAsiaTheme="minorEastAsia" w:hAnsiTheme="minorHAnsi" w:cstheme="minorHAnsi"/>
          <w:b/>
          <w:bCs/>
          <w:sz w:val="22"/>
          <w:szCs w:val="22"/>
          <w:lang w:eastAsia="ja-JP"/>
        </w:rPr>
        <w:t xml:space="preserve">Christophe </w:t>
      </w:r>
      <w:proofErr w:type="spellStart"/>
      <w:r w:rsidRPr="00005FD2">
        <w:rPr>
          <w:rFonts w:asciiTheme="minorHAnsi" w:eastAsiaTheme="minorEastAsia" w:hAnsiTheme="minorHAnsi" w:cstheme="minorHAnsi"/>
          <w:b/>
          <w:bCs/>
          <w:sz w:val="22"/>
          <w:szCs w:val="22"/>
          <w:lang w:eastAsia="ja-JP"/>
        </w:rPr>
        <w:t>McGLADE</w:t>
      </w:r>
      <w:proofErr w:type="spellEnd"/>
      <w:r w:rsidRPr="009F517A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9F517A">
        <w:rPr>
          <w:rFonts w:asciiTheme="minorHAnsi" w:hAnsiTheme="minorHAnsi" w:cstheme="minorHAnsi"/>
          <w:lang w:val="en-US"/>
        </w:rPr>
        <w:t xml:space="preserve">Head of the Energy Supply Unit – IEA International Energy Agency </w:t>
      </w:r>
    </w:p>
    <w:p w14:paraId="31242E48" w14:textId="77777777" w:rsidR="009F517A" w:rsidRDefault="009F517A" w:rsidP="009F517A">
      <w:pPr>
        <w:pStyle w:val="m2096129792649722231msolistparagraph"/>
        <w:numPr>
          <w:ilvl w:val="0"/>
          <w:numId w:val="2"/>
        </w:numPr>
        <w:spacing w:after="0" w:afterAutospacing="0"/>
        <w:ind w:left="426" w:right="51" w:hanging="284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lang w:val="en-US"/>
        </w:rPr>
        <w:t>Gianpiero</w:t>
      </w:r>
      <w:proofErr w:type="spellEnd"/>
      <w:r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US"/>
        </w:rPr>
        <w:t>Nacci</w:t>
      </w:r>
      <w:proofErr w:type="spellEnd"/>
      <w:r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8D2943">
        <w:rPr>
          <w:rFonts w:asciiTheme="minorHAnsi" w:hAnsiTheme="minorHAnsi" w:cstheme="minorHAnsi"/>
          <w:lang w:val="en-US"/>
        </w:rPr>
        <w:t>Director of the Climate Strategy and Delivery team</w:t>
      </w:r>
      <w:r w:rsidRPr="00297868">
        <w:rPr>
          <w:rFonts w:asciiTheme="minorHAnsi" w:hAnsiTheme="minorHAnsi" w:cstheme="minorHAnsi"/>
          <w:lang w:val="en-US"/>
        </w:rPr>
        <w:t xml:space="preserve"> EBRD -</w:t>
      </w:r>
      <w:r>
        <w:rPr>
          <w:rFonts w:asciiTheme="minorHAnsi" w:hAnsiTheme="minorHAnsi" w:cstheme="minorHAnsi"/>
          <w:lang w:val="en-US"/>
        </w:rPr>
        <w:t xml:space="preserve"> </w:t>
      </w:r>
      <w:r w:rsidRPr="00297868">
        <w:rPr>
          <w:rFonts w:asciiTheme="minorHAnsi" w:hAnsiTheme="minorHAnsi" w:cstheme="minorHAnsi"/>
          <w:lang w:val="en-US"/>
        </w:rPr>
        <w:t xml:space="preserve">European Bank for Reconstruction and Development </w:t>
      </w:r>
    </w:p>
    <w:p w14:paraId="5410556C" w14:textId="77777777" w:rsidR="009F517A" w:rsidRPr="00297868" w:rsidRDefault="009F517A" w:rsidP="009F517A">
      <w:pPr>
        <w:pStyle w:val="m2096129792649722231msolistparagraph"/>
        <w:numPr>
          <w:ilvl w:val="0"/>
          <w:numId w:val="2"/>
        </w:numPr>
        <w:spacing w:after="0" w:afterAutospacing="0"/>
        <w:ind w:left="426" w:right="51" w:hanging="284"/>
        <w:rPr>
          <w:rFonts w:asciiTheme="minorHAnsi" w:hAnsiTheme="minorHAnsi" w:cstheme="minorHAnsi"/>
          <w:lang w:val="en-US"/>
        </w:rPr>
      </w:pPr>
      <w:bookmarkStart w:id="1" w:name="_Hlk142497539"/>
      <w:r w:rsidRPr="00297868">
        <w:rPr>
          <w:rFonts w:asciiTheme="minorHAnsi" w:hAnsiTheme="minorHAnsi" w:cstheme="minorHAnsi"/>
          <w:b/>
          <w:bCs/>
          <w:lang w:val="en-US"/>
        </w:rPr>
        <w:t xml:space="preserve">Paolo </w:t>
      </w:r>
      <w:proofErr w:type="spellStart"/>
      <w:r w:rsidRPr="00297868">
        <w:rPr>
          <w:rFonts w:asciiTheme="minorHAnsi" w:hAnsiTheme="minorHAnsi" w:cstheme="minorHAnsi"/>
          <w:b/>
          <w:bCs/>
          <w:lang w:val="en-US"/>
        </w:rPr>
        <w:t>Bertuzzi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r w:rsidRPr="00297868">
        <w:rPr>
          <w:rFonts w:asciiTheme="minorHAnsi" w:hAnsiTheme="minorHAnsi" w:cstheme="minorHAnsi"/>
          <w:lang w:val="en-US"/>
        </w:rPr>
        <w:t xml:space="preserve">CEO and Managing Director </w:t>
      </w:r>
      <w:proofErr w:type="spellStart"/>
      <w:r w:rsidRPr="00297868">
        <w:rPr>
          <w:rFonts w:asciiTheme="minorHAnsi" w:hAnsiTheme="minorHAnsi" w:cstheme="minorHAnsi"/>
          <w:lang w:val="en-US"/>
        </w:rPr>
        <w:t>Turboden</w:t>
      </w:r>
      <w:proofErr w:type="spellEnd"/>
      <w:r w:rsidRPr="00297868">
        <w:rPr>
          <w:rFonts w:asciiTheme="minorHAnsi" w:hAnsiTheme="minorHAnsi" w:cstheme="minorHAnsi"/>
          <w:lang w:val="en-US"/>
        </w:rPr>
        <w:t xml:space="preserve"> S.p.A. </w:t>
      </w:r>
    </w:p>
    <w:bookmarkEnd w:id="1"/>
    <w:p w14:paraId="11AA0533" w14:textId="77777777" w:rsidR="009F517A" w:rsidRPr="009F517A" w:rsidRDefault="009F517A" w:rsidP="009F517A">
      <w:pPr>
        <w:pStyle w:val="ListParagraph"/>
        <w:widowControl w:val="0"/>
        <w:numPr>
          <w:ilvl w:val="0"/>
          <w:numId w:val="2"/>
        </w:numPr>
        <w:autoSpaceDE w:val="0"/>
        <w:autoSpaceDN w:val="0"/>
        <w:ind w:left="426" w:hanging="284"/>
        <w:contextualSpacing w:val="0"/>
        <w:rPr>
          <w:rFonts w:asciiTheme="minorHAnsi" w:eastAsiaTheme="minorEastAsia" w:hAnsiTheme="minorHAnsi" w:cstheme="minorHAnsi"/>
          <w:lang w:val="en-US" w:eastAsia="ja-JP"/>
        </w:rPr>
      </w:pPr>
      <w:r w:rsidRPr="00005FD2">
        <w:rPr>
          <w:rFonts w:asciiTheme="minorHAnsi" w:eastAsiaTheme="minorEastAsia" w:hAnsiTheme="minorHAnsi" w:cstheme="minorHAnsi"/>
          <w:b/>
          <w:bCs/>
          <w:sz w:val="22"/>
          <w:szCs w:val="22"/>
          <w:lang w:val="en-US" w:eastAsia="ja-JP"/>
        </w:rPr>
        <w:t>Olivier Milhaud</w:t>
      </w:r>
      <w:r w:rsidRPr="009F517A">
        <w:rPr>
          <w:rFonts w:asciiTheme="minorHAnsi" w:eastAsiaTheme="minorEastAsia" w:hAnsiTheme="minorHAnsi" w:cstheme="minorHAnsi"/>
          <w:lang w:val="en-US" w:eastAsia="ja-JP"/>
        </w:rPr>
        <w:t xml:space="preserve">, General Manager of Lafarge Emirates Cement  </w:t>
      </w:r>
    </w:p>
    <w:p w14:paraId="42963DC2" w14:textId="77777777" w:rsidR="009F517A" w:rsidRDefault="009F517A" w:rsidP="009F517A">
      <w:pPr>
        <w:pStyle w:val="m2096129792649722231msolistparagraph"/>
        <w:numPr>
          <w:ilvl w:val="0"/>
          <w:numId w:val="2"/>
        </w:numPr>
        <w:spacing w:after="0" w:afterAutospacing="0"/>
        <w:ind w:left="426" w:right="51" w:hanging="28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Sergio </w:t>
      </w:r>
      <w:proofErr w:type="spellStart"/>
      <w:r>
        <w:rPr>
          <w:rFonts w:asciiTheme="minorHAnsi" w:hAnsiTheme="minorHAnsi" w:cstheme="minorHAnsi"/>
          <w:b/>
          <w:bCs/>
          <w:lang w:val="en-US"/>
        </w:rPr>
        <w:t>Molisani</w:t>
      </w:r>
      <w:proofErr w:type="spellEnd"/>
      <w:r>
        <w:rPr>
          <w:rFonts w:asciiTheme="minorHAnsi" w:hAnsiTheme="minorHAnsi" w:cstheme="minorHAnsi"/>
          <w:b/>
          <w:bCs/>
          <w:lang w:val="en-US"/>
        </w:rPr>
        <w:t xml:space="preserve">, </w:t>
      </w:r>
      <w:r w:rsidRPr="00056271">
        <w:rPr>
          <w:rFonts w:asciiTheme="minorHAnsi" w:hAnsiTheme="minorHAnsi" w:cstheme="minorHAnsi"/>
          <w:lang w:val="en-US"/>
        </w:rPr>
        <w:t>Chief International Asset Officer</w:t>
      </w:r>
      <w:r>
        <w:rPr>
          <w:rFonts w:asciiTheme="minorHAnsi" w:hAnsiTheme="minorHAnsi" w:cstheme="minorHAnsi"/>
          <w:lang w:val="en-US"/>
        </w:rPr>
        <w:t>, SNAM S.p.A.</w:t>
      </w:r>
    </w:p>
    <w:p w14:paraId="1A64115F" w14:textId="763FFB91" w:rsidR="00D01CB9" w:rsidRPr="00D01CB9" w:rsidRDefault="00D01CB9" w:rsidP="00D01CB9">
      <w:pPr>
        <w:pStyle w:val="m2096129792649722231msolistparagraph"/>
        <w:spacing w:after="0" w:afterAutospacing="0"/>
        <w:ind w:left="142" w:right="51"/>
        <w:rPr>
          <w:color w:val="FF0000"/>
          <w:lang w:val="de-DE"/>
        </w:rPr>
      </w:pPr>
      <w:proofErr w:type="spellStart"/>
      <w:r w:rsidRPr="00D01CB9">
        <w:rPr>
          <w:rFonts w:asciiTheme="minorHAnsi" w:hAnsiTheme="minorHAnsi" w:cstheme="minorHAnsi"/>
          <w:b/>
          <w:bCs/>
          <w:lang w:val="de-DE"/>
        </w:rPr>
        <w:t>Moderatore</w:t>
      </w:r>
      <w:proofErr w:type="spellEnd"/>
      <w:r w:rsidRPr="00D01CB9">
        <w:rPr>
          <w:rFonts w:asciiTheme="minorHAnsi" w:hAnsiTheme="minorHAnsi" w:cstheme="minorHAnsi"/>
          <w:lang w:val="de-DE"/>
        </w:rPr>
        <w:t xml:space="preserve">: Nikolaus </w:t>
      </w:r>
      <w:proofErr w:type="spellStart"/>
      <w:r w:rsidRPr="00D01CB9">
        <w:rPr>
          <w:rFonts w:asciiTheme="minorHAnsi" w:hAnsiTheme="minorHAnsi" w:cstheme="minorHAnsi"/>
          <w:lang w:val="de-DE"/>
        </w:rPr>
        <w:t>Kurmayer</w:t>
      </w:r>
      <w:proofErr w:type="spellEnd"/>
      <w:r w:rsidRPr="00D01CB9">
        <w:rPr>
          <w:rFonts w:asciiTheme="minorHAnsi" w:hAnsiTheme="minorHAnsi" w:cstheme="minorHAnsi"/>
          <w:lang w:val="de-DE"/>
        </w:rPr>
        <w:t xml:space="preserve"> – </w:t>
      </w:r>
      <w:proofErr w:type="spellStart"/>
      <w:r w:rsidRPr="00D01CB9">
        <w:rPr>
          <w:rFonts w:asciiTheme="minorHAnsi" w:hAnsiTheme="minorHAnsi" w:cstheme="minorHAnsi"/>
          <w:lang w:val="de-DE"/>
        </w:rPr>
        <w:t>Euroactive</w:t>
      </w:r>
      <w:proofErr w:type="spellEnd"/>
      <w:r w:rsidRPr="00D01CB9">
        <w:rPr>
          <w:rFonts w:asciiTheme="minorHAnsi" w:hAnsiTheme="minorHAnsi" w:cstheme="minorHAnsi"/>
          <w:lang w:val="de-DE"/>
        </w:rPr>
        <w:t xml:space="preserve"> (TBC)</w:t>
      </w:r>
    </w:p>
    <w:p w14:paraId="0BFB308C" w14:textId="77777777" w:rsidR="00D01CB9" w:rsidRPr="00D01CB9" w:rsidRDefault="00D01CB9" w:rsidP="00D01CB9">
      <w:pPr>
        <w:pStyle w:val="Heading1"/>
        <w:ind w:right="51"/>
        <w:rPr>
          <w:color w:val="FF0000"/>
          <w:sz w:val="22"/>
          <w:szCs w:val="22"/>
          <w:lang w:val="de-DE"/>
        </w:rPr>
      </w:pPr>
    </w:p>
    <w:p w14:paraId="21F20DFC" w14:textId="77777777" w:rsidR="00D01CB9" w:rsidRPr="00D01CB9" w:rsidRDefault="00D01CB9" w:rsidP="00D01CB9">
      <w:pPr>
        <w:pStyle w:val="Heading1"/>
        <w:ind w:right="51"/>
        <w:rPr>
          <w:rFonts w:eastAsia="Calibri Light" w:cs="Calibri Light"/>
          <w:b/>
          <w:bCs/>
          <w:sz w:val="22"/>
          <w:szCs w:val="22"/>
        </w:rPr>
      </w:pPr>
      <w:r w:rsidRPr="00D01CB9">
        <w:rPr>
          <w:rFonts w:eastAsia="Calibri Light" w:cs="Calibri Light"/>
          <w:b/>
          <w:bCs/>
          <w:sz w:val="22"/>
          <w:szCs w:val="22"/>
        </w:rPr>
        <w:t xml:space="preserve">NETWORKING COFFEE </w:t>
      </w:r>
    </w:p>
    <w:p w14:paraId="1118352C" w14:textId="77777777" w:rsidR="00563FC3" w:rsidRPr="00563FC3" w:rsidRDefault="00563FC3" w:rsidP="00563FC3">
      <w:pPr>
        <w:pStyle w:val="BodyText"/>
        <w:spacing w:before="1"/>
        <w:ind w:right="51"/>
        <w:rPr>
          <w:rFonts w:eastAsia="Times New Roman"/>
          <w:sz w:val="24"/>
          <w:szCs w:val="24"/>
          <w:lang w:val="it-IT" w:eastAsia="it-IT"/>
        </w:rPr>
      </w:pPr>
    </w:p>
    <w:sectPr w:rsidR="00563FC3" w:rsidRPr="00563FC3" w:rsidSect="004372BF">
      <w:headerReference w:type="default" r:id="rId9"/>
      <w:pgSz w:w="11904" w:h="16838"/>
      <w:pgMar w:top="-1797" w:right="737" w:bottom="899" w:left="737" w:header="1122" w:footer="5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2E2C" w14:textId="77777777" w:rsidR="00AE5AFE" w:rsidRDefault="00AE5AFE">
      <w:r>
        <w:separator/>
      </w:r>
    </w:p>
  </w:endnote>
  <w:endnote w:type="continuationSeparator" w:id="0">
    <w:p w14:paraId="731CE2E1" w14:textId="77777777" w:rsidR="00AE5AFE" w:rsidRDefault="00AE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7B77" w14:textId="77777777" w:rsidR="00AE5AFE" w:rsidRDefault="00AE5AFE">
      <w:r>
        <w:separator/>
      </w:r>
    </w:p>
  </w:footnote>
  <w:footnote w:type="continuationSeparator" w:id="0">
    <w:p w14:paraId="66E063CD" w14:textId="77777777" w:rsidR="00AE5AFE" w:rsidRDefault="00AE5AFE">
      <w:r>
        <w:continuationSeparator/>
      </w:r>
    </w:p>
  </w:footnote>
  <w:footnote w:id="1">
    <w:p w14:paraId="4CCC6254" w14:textId="05B4FAA9" w:rsidR="00226650" w:rsidRDefault="00226650">
      <w:pPr>
        <w:pStyle w:val="FootnoteText"/>
      </w:pPr>
      <w:r>
        <w:rPr>
          <w:rStyle w:val="FootnoteReference"/>
        </w:rPr>
        <w:footnoteRef/>
      </w:r>
      <w:r w:rsidRPr="00226650">
        <w:rPr>
          <w:lang w:val="en-US"/>
        </w:rPr>
        <w:t xml:space="preserve">  </w:t>
      </w:r>
      <w:r w:rsidRPr="00226650">
        <w:rPr>
          <w:rFonts w:ascii="Calibri Light" w:hAnsi="Calibri Light" w:cs="Calibri Light"/>
          <w:sz w:val="18"/>
          <w:szCs w:val="18"/>
          <w:lang w:val="en-US"/>
        </w:rPr>
        <w:t xml:space="preserve">Connolly, D., et al. (2013). Heat Roadmap Europe 2: Second Pre-Study for the EU27. </w:t>
      </w:r>
      <w:r w:rsidRPr="00226650">
        <w:rPr>
          <w:rFonts w:ascii="Calibri Light" w:hAnsi="Calibri Light" w:cs="Calibri Light"/>
          <w:sz w:val="18"/>
          <w:szCs w:val="18"/>
        </w:rPr>
        <w:t>Department of Development and Planning, Aalborg University, p. 54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F0FE" w14:textId="1F6C0681" w:rsidR="00356FE1" w:rsidRDefault="00AA189E" w:rsidP="001F7346">
    <w:pPr>
      <w:pStyle w:val="Header"/>
      <w:rPr>
        <w:rFonts w:ascii="Calibri Light" w:hAnsi="Calibri Light" w:cs="Calibri Light"/>
        <w:noProof/>
      </w:rPr>
    </w:pPr>
    <w:r w:rsidRPr="006E0EB2">
      <w:rPr>
        <w:rFonts w:ascii="Calibri Light" w:hAnsi="Calibri Light" w:cs="Calibri Light"/>
        <w:noProof/>
      </w:rPr>
      <w:drawing>
        <wp:anchor distT="0" distB="0" distL="114300" distR="114300" simplePos="0" relativeHeight="251658240" behindDoc="0" locked="0" layoutInCell="1" allowOverlap="1" wp14:anchorId="1092307D" wp14:editId="378DC894">
          <wp:simplePos x="0" y="0"/>
          <wp:positionH relativeFrom="column">
            <wp:posOffset>-317500</wp:posOffset>
          </wp:positionH>
          <wp:positionV relativeFrom="paragraph">
            <wp:posOffset>-399415</wp:posOffset>
          </wp:positionV>
          <wp:extent cx="2267585" cy="819150"/>
          <wp:effectExtent l="0" t="0" r="0" b="0"/>
          <wp:wrapSquare wrapText="bothSides"/>
          <wp:docPr id="133" name="Immagin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_sfondo_72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400176" w14:textId="4AC94AF1" w:rsidR="00356FE1" w:rsidRDefault="00356FE1" w:rsidP="001F7346">
    <w:pPr>
      <w:pStyle w:val="Header"/>
    </w:pPr>
  </w:p>
  <w:p w14:paraId="7D84E6C0" w14:textId="77777777" w:rsidR="00712287" w:rsidRDefault="00941350" w:rsidP="004F2C35">
    <w:pPr>
      <w:pStyle w:val="Header"/>
      <w:tabs>
        <w:tab w:val="clear" w:pos="9638"/>
        <w:tab w:val="left" w:pos="4819"/>
      </w:tabs>
    </w:pPr>
    <w:r>
      <w:tab/>
    </w:r>
    <w:r w:rsidR="00A673C9" w:rsidRPr="006E0EB2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2219BC" wp14:editId="2E422B06">
              <wp:simplePos x="0" y="0"/>
              <wp:positionH relativeFrom="column">
                <wp:posOffset>-4268151</wp:posOffset>
              </wp:positionH>
              <wp:positionV relativeFrom="paragraph">
                <wp:posOffset>4160838</wp:posOffset>
              </wp:positionV>
              <wp:extent cx="8055640" cy="97156"/>
              <wp:effectExtent l="16827" t="2223" r="318" b="317"/>
              <wp:wrapNone/>
              <wp:docPr id="19" name="テキスト ボックス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055640" cy="971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F63094" w14:textId="77777777" w:rsidR="00A673C9" w:rsidRPr="00EB409E" w:rsidRDefault="00A673C9" w:rsidP="00A673C9">
                          <w:pPr>
                            <w:spacing w:line="80" w:lineRule="atLeast"/>
                            <w:jc w:val="center"/>
                            <w:rPr>
                              <w:rFonts w:ascii="Calibri Light" w:hAnsi="Calibri Light"/>
                              <w:color w:val="000000"/>
                              <w:sz w:val="14"/>
                              <w:szCs w:val="14"/>
                              <w:lang w:val="en-GB"/>
                            </w:rPr>
                          </w:pPr>
                          <w:r w:rsidRPr="00A673C9">
                            <w:rPr>
                              <w:rFonts w:ascii="Calibri Light" w:hAnsi="Calibri Light"/>
                              <w:color w:val="000000"/>
                              <w:sz w:val="11"/>
                              <w:szCs w:val="11"/>
                              <w:lang w:val="en-GB"/>
                            </w:rPr>
                            <w:t xml:space="preserve">This document contains proprietary information of </w:t>
                          </w:r>
                          <w:proofErr w:type="spellStart"/>
                          <w:r w:rsidRPr="00A673C9">
                            <w:rPr>
                              <w:rFonts w:ascii="Calibri Light" w:hAnsi="Calibri Light"/>
                              <w:color w:val="000000"/>
                              <w:sz w:val="11"/>
                              <w:szCs w:val="11"/>
                              <w:lang w:val="en-GB"/>
                            </w:rPr>
                            <w:t>Turboden</w:t>
                          </w:r>
                          <w:proofErr w:type="spellEnd"/>
                          <w:r w:rsidRPr="00A673C9">
                            <w:rPr>
                              <w:rFonts w:ascii="Calibri Light" w:hAnsi="Calibri Light"/>
                              <w:color w:val="000000"/>
                              <w:sz w:val="11"/>
                              <w:szCs w:val="11"/>
                              <w:lang w:val="en-GB"/>
                            </w:rPr>
                            <w:t xml:space="preserve"> S.p.A.</w:t>
                          </w:r>
                          <w:r w:rsidRPr="00A673C9">
                            <w:rPr>
                              <w:rFonts w:ascii="Calibri Light" w:hAnsi="Calibri Light"/>
                              <w:color w:val="FF0000"/>
                              <w:sz w:val="11"/>
                              <w:szCs w:val="11"/>
                              <w:lang w:val="en-GB"/>
                            </w:rPr>
                            <w:t xml:space="preserve"> </w:t>
                          </w:r>
                          <w:r w:rsidRPr="00A673C9">
                            <w:rPr>
                              <w:rFonts w:ascii="Calibri Light" w:hAnsi="Calibri Light"/>
                              <w:color w:val="000000"/>
                              <w:sz w:val="11"/>
                              <w:szCs w:val="11"/>
                              <w:lang w:val="en-GB"/>
                            </w:rPr>
                            <w:t xml:space="preserve">Duplication or disclosure to a third party of the information contained herein is expressly forbidden without the written consent of </w:t>
                          </w:r>
                          <w:proofErr w:type="spellStart"/>
                          <w:r w:rsidRPr="00A673C9">
                            <w:rPr>
                              <w:rFonts w:ascii="Calibri Light" w:hAnsi="Calibri Light"/>
                              <w:color w:val="000000"/>
                              <w:sz w:val="11"/>
                              <w:szCs w:val="11"/>
                              <w:lang w:val="en-GB"/>
                            </w:rPr>
                            <w:t>Turboden</w:t>
                          </w:r>
                          <w:proofErr w:type="spellEnd"/>
                          <w:r w:rsidRPr="00A673C9">
                            <w:rPr>
                              <w:rFonts w:ascii="Calibri Light" w:hAnsi="Calibri Light"/>
                              <w:color w:val="000000"/>
                              <w:sz w:val="11"/>
                              <w:szCs w:val="11"/>
                              <w:lang w:val="en-GB"/>
                            </w:rPr>
                            <w:t xml:space="preserve"> S.p.A.</w:t>
                          </w:r>
                        </w:p>
                        <w:p w14:paraId="50B23F68" w14:textId="77777777" w:rsidR="00A673C9" w:rsidRPr="00F677E5" w:rsidRDefault="00A673C9" w:rsidP="00A673C9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219BC" id="_x0000_t202" coordsize="21600,21600" o:spt="202" path="m,l,21600r21600,l21600,xe">
              <v:stroke joinstyle="miter"/>
              <v:path gradientshapeok="t" o:connecttype="rect"/>
            </v:shapetype>
            <v:shape id="テキスト ボックス 19" o:spid="_x0000_s1026" type="#_x0000_t202" style="position:absolute;margin-left:-336.05pt;margin-top:327.65pt;width:634.3pt;height:7.6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6zlQIAAGoFAAAOAAAAZHJzL2Uyb0RvYy54bWysVM1uEzEQviPxDpbvdJOKhjbqpgqtipCq&#10;tiJFPTteu1nhtY3tZDccGwnxELwC4szz5EX47N0NpXApYg/W7Px8nvlmPMcnTaXISjhfGp3T4d6A&#10;EqG5KUp9l9P3N+cvDinxgemCKaNFTtfC05PJ82fHtR2LfbMwqhCOAET7cW1zugjBjrPM84WomN8z&#10;VmgYpXEVC/h1d1nhWA30SmX7g8Eoq40rrDNceA/tWWukk4QvpeDhSkovAlE5RW4hnS6d83hmk2M2&#10;vnPMLkrepcH+IYuKlRqX7qDOWGBk6co/oKqSO+ONDHvcVJmRsuQi1YBqhoNH1cwWzIpUC8jxdkeT&#10;/3+w/HJ17UhZoHdHlGhWoUfbzeft/bft/Y/t5gvZbr5uN5vt/Xf8E/iAsNr6MeJmFpGheW0aBPd6&#10;D2XkoZGuIs6A7+EIfcKX6EHBBO7oxHrHvmgC4VAeDg4ORi9h4rAdvRoejCJo1mJFTOt8eCNMRaKQ&#10;U4fmJlC2uvChde1dors256VSqcFK/6YAZqsRaUK66FhWm36SwlqJGKX0OyHBUEo7KtJsilPlyIph&#10;qhjnQodEQMKFd/SSuPspgZ1/DG2zekrwLiLdbHTYBVelNi6x9Cjt4kOfsmz9QfWDuqMYmnnTtXtu&#10;ijW6nRqKDnnLz0s04YL5cM0cXgyU2ALhCodUps6p6SRKFsZ9+ps++mOQYaWkxgvMqf+4ZE5Qot5q&#10;jDggQy+4Xpj3gl5Wpwb0D1M2SUSAC6oXpTPVLZbDNN4CE9Mcd+U09OJpaPcAlgsX02lywqO0LFzo&#10;meUROtIZR+qmuWXOdnMXMLCXpn+bbPxo/FrfGKnNdBmMLNNsRkJbFjui8aDTdHfLJ26Mh//J69eK&#10;nPwEAAD//wMAUEsDBBQABgAIAAAAIQAUnyXA4wAAAAsBAAAPAAAAZHJzL2Rvd25yZXYueG1sTI9B&#10;S8NAEIXvgv9hGcGLpJumtqkxm1ILnqygrQjettkxCc3Ohuymjf56x5Meh/fx3jf5arStOGHvG0cK&#10;ppMYBFLpTEOVgrf9Y7QE4YMmo1tHqOALPayKy4tcZ8ad6RVPu1AJLiGfaQV1CF0mpS9rtNpPXIfE&#10;2afrrQ589pU0vT5zuW1lEscLaXVDvFDrDjc1lsfdYBWY549pWN+8bB9Sfxyqd2efNt+JUtdX4/oe&#10;RMAx/MHwq8/qULDTwQ1kvGgVRLfzOaMKkmUKgoFoFicgDkwmd+kMZJHL/z8UPwAAAP//AwBQSwEC&#10;LQAUAAYACAAAACEAtoM4kv4AAADhAQAAEwAAAAAAAAAAAAAAAAAAAAAAW0NvbnRlbnRfVHlwZXNd&#10;LnhtbFBLAQItABQABgAIAAAAIQA4/SH/1gAAAJQBAAALAAAAAAAAAAAAAAAAAC8BAABfcmVscy8u&#10;cmVsc1BLAQItABQABgAIAAAAIQBpkw6zlQIAAGoFAAAOAAAAAAAAAAAAAAAAAC4CAABkcnMvZTJv&#10;RG9jLnhtbFBLAQItABQABgAIAAAAIQAUnyXA4wAAAAsBAAAPAAAAAAAAAAAAAAAAAO8EAABkcnMv&#10;ZG93bnJldi54bWxQSwUGAAAAAAQABADzAAAA/wUAAAAA&#10;" filled="f" stroked="f">
              <v:textbox inset="0,0,0,0">
                <w:txbxContent>
                  <w:p w14:paraId="05F63094" w14:textId="77777777" w:rsidR="00A673C9" w:rsidRPr="00EB409E" w:rsidRDefault="00A673C9" w:rsidP="00A673C9">
                    <w:pPr>
                      <w:spacing w:line="80" w:lineRule="atLeast"/>
                      <w:jc w:val="center"/>
                      <w:rPr>
                        <w:rFonts w:ascii="Calibri Light" w:hAnsi="Calibri Light"/>
                        <w:color w:val="000000"/>
                        <w:sz w:val="14"/>
                        <w:szCs w:val="14"/>
                        <w:lang w:val="en-GB"/>
                      </w:rPr>
                    </w:pPr>
                    <w:r w:rsidRPr="00A673C9">
                      <w:rPr>
                        <w:rFonts w:ascii="Calibri Light" w:hAnsi="Calibri Light"/>
                        <w:color w:val="000000"/>
                        <w:sz w:val="11"/>
                        <w:szCs w:val="11"/>
                        <w:lang w:val="en-GB"/>
                      </w:rPr>
                      <w:t xml:space="preserve">This document contains proprietary information of </w:t>
                    </w:r>
                    <w:proofErr w:type="spellStart"/>
                    <w:r w:rsidRPr="00A673C9">
                      <w:rPr>
                        <w:rFonts w:ascii="Calibri Light" w:hAnsi="Calibri Light"/>
                        <w:color w:val="000000"/>
                        <w:sz w:val="11"/>
                        <w:szCs w:val="11"/>
                        <w:lang w:val="en-GB"/>
                      </w:rPr>
                      <w:t>Turboden</w:t>
                    </w:r>
                    <w:proofErr w:type="spellEnd"/>
                    <w:r w:rsidRPr="00A673C9">
                      <w:rPr>
                        <w:rFonts w:ascii="Calibri Light" w:hAnsi="Calibri Light"/>
                        <w:color w:val="000000"/>
                        <w:sz w:val="11"/>
                        <w:szCs w:val="11"/>
                        <w:lang w:val="en-GB"/>
                      </w:rPr>
                      <w:t xml:space="preserve"> S.p.A.</w:t>
                    </w:r>
                    <w:r w:rsidRPr="00A673C9">
                      <w:rPr>
                        <w:rFonts w:ascii="Calibri Light" w:hAnsi="Calibri Light"/>
                        <w:color w:val="FF0000"/>
                        <w:sz w:val="11"/>
                        <w:szCs w:val="11"/>
                        <w:lang w:val="en-GB"/>
                      </w:rPr>
                      <w:t xml:space="preserve"> </w:t>
                    </w:r>
                    <w:r w:rsidRPr="00A673C9">
                      <w:rPr>
                        <w:rFonts w:ascii="Calibri Light" w:hAnsi="Calibri Light"/>
                        <w:color w:val="000000"/>
                        <w:sz w:val="11"/>
                        <w:szCs w:val="11"/>
                        <w:lang w:val="en-GB"/>
                      </w:rPr>
                      <w:t xml:space="preserve">Duplication or disclosure to a third party of the information contained herein is expressly forbidden without the written consent of </w:t>
                    </w:r>
                    <w:proofErr w:type="spellStart"/>
                    <w:r w:rsidRPr="00A673C9">
                      <w:rPr>
                        <w:rFonts w:ascii="Calibri Light" w:hAnsi="Calibri Light"/>
                        <w:color w:val="000000"/>
                        <w:sz w:val="11"/>
                        <w:szCs w:val="11"/>
                        <w:lang w:val="en-GB"/>
                      </w:rPr>
                      <w:t>Turboden</w:t>
                    </w:r>
                    <w:proofErr w:type="spellEnd"/>
                    <w:r w:rsidRPr="00A673C9">
                      <w:rPr>
                        <w:rFonts w:ascii="Calibri Light" w:hAnsi="Calibri Light"/>
                        <w:color w:val="000000"/>
                        <w:sz w:val="11"/>
                        <w:szCs w:val="11"/>
                        <w:lang w:val="en-GB"/>
                      </w:rPr>
                      <w:t xml:space="preserve"> S.p.A.</w:t>
                    </w:r>
                  </w:p>
                  <w:p w14:paraId="50B23F68" w14:textId="77777777" w:rsidR="00A673C9" w:rsidRPr="00F677E5" w:rsidRDefault="00A673C9" w:rsidP="00A673C9">
                    <w:pPr>
                      <w:jc w:val="center"/>
                      <w:rPr>
                        <w:b/>
                        <w:color w:val="000000" w:themeColor="text1"/>
                        <w:sz w:val="14"/>
                        <w:szCs w:val="14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11BF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7943F8" wp14:editId="3631632D">
              <wp:simplePos x="0" y="0"/>
              <wp:positionH relativeFrom="column">
                <wp:posOffset>-234315</wp:posOffset>
              </wp:positionH>
              <wp:positionV relativeFrom="paragraph">
                <wp:posOffset>459740</wp:posOffset>
              </wp:positionV>
              <wp:extent cx="2628900" cy="10287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CAA94" w14:textId="77777777" w:rsidR="00712287" w:rsidRDefault="00712287" w:rsidP="00712287">
                          <w:pPr>
                            <w:spacing w:line="360" w:lineRule="auto"/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7943F8" id="Text Box 6" o:spid="_x0000_s1027" type="#_x0000_t202" style="position:absolute;margin-left:-18.45pt;margin-top:36.2pt;width:207pt;height:8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GK2BAIAAPUDAAAOAAAAZHJzL2Uyb0RvYy54bWysU9tu2zAMfR+wfxD0vtgxsjQ14hRdigwD&#10;ugvQ9gNkWbaF2aJAKbGzrx8lJ2m2vRXTgyCK1CHPIbW+G/uOHRQ6Dabg81nKmTISKm2agr887z6s&#10;OHNemEp0YFTBj8rxu837d+vB5iqDFrpKISMQ4/LBFrz13uZJ4mSreuFmYJUhZw3YC08mNkmFYiD0&#10;vkuyNF0mA2BlEaRyjm4fJiffRPy6VtJ/r2unPOsKTrX5uGPcy7Anm7XIGxS21fJUhnhDFb3QhpJe&#10;oB6EF2yP+h+oXksEB7WfSegTqGstVeRAbObpX2yeWmFV5ELiOHuRyf0/WPnt8AOZrgqecWZETy16&#10;VqNnn2Bky6DOYF1OQU+WwvxI19TlyNTZR5A/HTOwbYVp1D0iDK0SFVU3Dy+Tq6cTjgsg5fAVKkoj&#10;9h4i0FhjH6QjMRihU5eOl86EUiRdZstsdZuSS5JvnmarGzJCDpGfn1t0/rOCnoVDwZFaH+HF4dH5&#10;KfQcErI56HS1010XDWzKbYfsIGhMdnGd0P8I60wINhCeTYjhJvIM1CaSfizHKGgUIWhQQnUk4gjT&#10;9NFvoUML+IuzgSav4Ia+BmfdF0PS3c4XizCo0Vh8vMnIwGtPee0RRhJQwT1n03Hrp+HeW9RNS3nO&#10;zbonuXc6CvFa06l4mq0o5ekfhOG9tmPU62/d/AYAAP//AwBQSwMEFAAGAAgAAAAhAFAKGcjgAAAA&#10;CgEAAA8AAABkcnMvZG93bnJldi54bWxMj9FKwzAUhu8F3yEcwbstXVtaV5sOUQRFGGz6AGly1hab&#10;k5pka31745VeHv6P//9OvVvMyC7o/GBJwGadAENSVg/UCfh4f17dAfNBkpajJRTwjR52zfVVLStt&#10;Zzrg5Rg6FkvIV1JAH8JUce5Vj0b6tZ2QYnayzsgQT9dx7eQcy83I0yQpuJEDxYVeTvjYo/o8no2A&#10;p8G1X8pmL0X5tlX7gz/Nr3suxO3N8nAPLOAS/mD41Y/q0ESn1p5JezYKWGXFNqICyjQHFoGsLDfA&#10;WgFplufAm5r/f6H5AQAA//8DAFBLAQItABQABgAIAAAAIQC2gziS/gAAAOEBAAATAAAAAAAAAAAA&#10;AAAAAAAAAABbQ29udGVudF9UeXBlc10ueG1sUEsBAi0AFAAGAAgAAAAhADj9If/WAAAAlAEAAAsA&#10;AAAAAAAAAAAAAAAALwEAAF9yZWxzLy5yZWxzUEsBAi0AFAAGAAgAAAAhADr0YrYEAgAA9QMAAA4A&#10;AAAAAAAAAAAAAAAALgIAAGRycy9lMm9Eb2MueG1sUEsBAi0AFAAGAAgAAAAhAFAKGcjgAAAACgEA&#10;AA8AAAAAAAAAAAAAAAAAXgQAAGRycy9kb3ducmV2LnhtbFBLBQYAAAAABAAEAPMAAABrBQAAAAA=&#10;" stroked="f">
              <v:textbox style="mso-fit-shape-to-text:t">
                <w:txbxContent>
                  <w:p w14:paraId="259CAA94" w14:textId="77777777" w:rsidR="00712287" w:rsidRDefault="00712287" w:rsidP="00712287">
                    <w:pPr>
                      <w:spacing w:line="36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B0FD8"/>
    <w:multiLevelType w:val="hybridMultilevel"/>
    <w:tmpl w:val="07C0B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57B55"/>
    <w:multiLevelType w:val="hybridMultilevel"/>
    <w:tmpl w:val="04940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FE"/>
    <w:rsid w:val="00005FD2"/>
    <w:rsid w:val="000716CA"/>
    <w:rsid w:val="00072EA9"/>
    <w:rsid w:val="000737DE"/>
    <w:rsid w:val="000A2BB9"/>
    <w:rsid w:val="000C4E66"/>
    <w:rsid w:val="000D088C"/>
    <w:rsid w:val="000D3B64"/>
    <w:rsid w:val="00157590"/>
    <w:rsid w:val="0017091C"/>
    <w:rsid w:val="0018399F"/>
    <w:rsid w:val="001C2F2E"/>
    <w:rsid w:val="001E0F47"/>
    <w:rsid w:val="001E5E7C"/>
    <w:rsid w:val="001F2C00"/>
    <w:rsid w:val="001F7346"/>
    <w:rsid w:val="00226650"/>
    <w:rsid w:val="0029458D"/>
    <w:rsid w:val="002A7BF9"/>
    <w:rsid w:val="002F3A59"/>
    <w:rsid w:val="00307CF9"/>
    <w:rsid w:val="003377AE"/>
    <w:rsid w:val="00356FE1"/>
    <w:rsid w:val="00363BEB"/>
    <w:rsid w:val="00370506"/>
    <w:rsid w:val="00384161"/>
    <w:rsid w:val="003943AD"/>
    <w:rsid w:val="003D7447"/>
    <w:rsid w:val="00423EBA"/>
    <w:rsid w:val="004372BF"/>
    <w:rsid w:val="0049412E"/>
    <w:rsid w:val="004B1E3B"/>
    <w:rsid w:val="004C2E5C"/>
    <w:rsid w:val="004D3173"/>
    <w:rsid w:val="004F2C35"/>
    <w:rsid w:val="00502B4F"/>
    <w:rsid w:val="00525F17"/>
    <w:rsid w:val="005608E3"/>
    <w:rsid w:val="00563FC3"/>
    <w:rsid w:val="005B20B4"/>
    <w:rsid w:val="005E6814"/>
    <w:rsid w:val="00606219"/>
    <w:rsid w:val="00606D88"/>
    <w:rsid w:val="0060744D"/>
    <w:rsid w:val="00621DBF"/>
    <w:rsid w:val="006247CD"/>
    <w:rsid w:val="0063378D"/>
    <w:rsid w:val="006719A3"/>
    <w:rsid w:val="006C30A2"/>
    <w:rsid w:val="006D7C6D"/>
    <w:rsid w:val="006E2939"/>
    <w:rsid w:val="006F6EC2"/>
    <w:rsid w:val="00704216"/>
    <w:rsid w:val="00712287"/>
    <w:rsid w:val="00713CFC"/>
    <w:rsid w:val="007305E8"/>
    <w:rsid w:val="0080043F"/>
    <w:rsid w:val="00852872"/>
    <w:rsid w:val="00895AA8"/>
    <w:rsid w:val="008F02EE"/>
    <w:rsid w:val="008F783C"/>
    <w:rsid w:val="00930888"/>
    <w:rsid w:val="00941350"/>
    <w:rsid w:val="0096251C"/>
    <w:rsid w:val="0096538B"/>
    <w:rsid w:val="00985FB0"/>
    <w:rsid w:val="009D2EBB"/>
    <w:rsid w:val="009E6804"/>
    <w:rsid w:val="009F517A"/>
    <w:rsid w:val="00A22B16"/>
    <w:rsid w:val="00A37D53"/>
    <w:rsid w:val="00A41B66"/>
    <w:rsid w:val="00A503EA"/>
    <w:rsid w:val="00A51EE3"/>
    <w:rsid w:val="00A55055"/>
    <w:rsid w:val="00A673C9"/>
    <w:rsid w:val="00AA189E"/>
    <w:rsid w:val="00AC3883"/>
    <w:rsid w:val="00AE3252"/>
    <w:rsid w:val="00AE5AFE"/>
    <w:rsid w:val="00B1440E"/>
    <w:rsid w:val="00B405AA"/>
    <w:rsid w:val="00B81D55"/>
    <w:rsid w:val="00B8651C"/>
    <w:rsid w:val="00B94AF5"/>
    <w:rsid w:val="00BA1DF7"/>
    <w:rsid w:val="00C13D87"/>
    <w:rsid w:val="00C251D2"/>
    <w:rsid w:val="00C467B0"/>
    <w:rsid w:val="00C93D8D"/>
    <w:rsid w:val="00CC4948"/>
    <w:rsid w:val="00CF1B17"/>
    <w:rsid w:val="00CF25C1"/>
    <w:rsid w:val="00D01CB9"/>
    <w:rsid w:val="00D11DAA"/>
    <w:rsid w:val="00D36C8C"/>
    <w:rsid w:val="00D371A7"/>
    <w:rsid w:val="00D71B31"/>
    <w:rsid w:val="00DC6D4C"/>
    <w:rsid w:val="00DD2B04"/>
    <w:rsid w:val="00DE27C7"/>
    <w:rsid w:val="00E11BF3"/>
    <w:rsid w:val="00E17D19"/>
    <w:rsid w:val="00E323D1"/>
    <w:rsid w:val="00E6662E"/>
    <w:rsid w:val="00E80C9A"/>
    <w:rsid w:val="00ED7532"/>
    <w:rsid w:val="00F112BE"/>
    <w:rsid w:val="00F142EC"/>
    <w:rsid w:val="00F71C64"/>
    <w:rsid w:val="00F9217D"/>
    <w:rsid w:val="00FB420A"/>
    <w:rsid w:val="00FD6A3D"/>
    <w:rsid w:val="00FD6EEB"/>
    <w:rsid w:val="00F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2AB28B"/>
  <w15:docId w15:val="{8F6A6946-1C64-46A2-94DD-13BE6578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E2939"/>
    <w:rPr>
      <w:sz w:val="24"/>
      <w:szCs w:val="24"/>
    </w:rPr>
  </w:style>
  <w:style w:type="paragraph" w:styleId="Heading1">
    <w:name w:val="heading 1"/>
    <w:basedOn w:val="TurbodenCartaIntestata"/>
    <w:next w:val="Normal"/>
    <w:link w:val="Heading1Char"/>
    <w:uiPriority w:val="9"/>
    <w:qFormat/>
    <w:rsid w:val="00AC3883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55656"/>
  </w:style>
  <w:style w:type="character" w:styleId="FootnoteReference">
    <w:name w:val="footnote reference"/>
    <w:uiPriority w:val="99"/>
    <w:semiHidden/>
    <w:rsid w:val="00D556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2287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7122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287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712287"/>
    <w:rPr>
      <w:sz w:val="24"/>
      <w:szCs w:val="24"/>
    </w:rPr>
  </w:style>
  <w:style w:type="character" w:styleId="Hyperlink">
    <w:name w:val="Hyperlink"/>
    <w:uiPriority w:val="99"/>
    <w:unhideWhenUsed/>
    <w:rsid w:val="00712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7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3883"/>
    <w:rPr>
      <w:rFonts w:ascii="Calibri Light" w:eastAsiaTheme="majorEastAsia" w:hAnsi="Calibri Light" w:cstheme="majorBidi"/>
      <w:sz w:val="32"/>
      <w:szCs w:val="32"/>
    </w:rPr>
  </w:style>
  <w:style w:type="paragraph" w:customStyle="1" w:styleId="TurbodenCartaIntestata">
    <w:name w:val="Turboden Carta Intestata"/>
    <w:basedOn w:val="Normal"/>
    <w:link w:val="TurbodenCartaIntestataCarattere"/>
    <w:qFormat/>
    <w:rsid w:val="0060744D"/>
    <w:rPr>
      <w:rFonts w:ascii="Calibri Light" w:hAnsi="Calibri Light"/>
    </w:rPr>
  </w:style>
  <w:style w:type="paragraph" w:styleId="IntenseQuote">
    <w:name w:val="Intense Quote"/>
    <w:basedOn w:val="TurbodenCartaIntestata"/>
    <w:next w:val="Normal"/>
    <w:link w:val="IntenseQuoteChar"/>
    <w:uiPriority w:val="30"/>
    <w:rsid w:val="0093088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TurbodenCartaIntestataCarattere">
    <w:name w:val="Turboden Carta Intestata Carattere"/>
    <w:basedOn w:val="DefaultParagraphFont"/>
    <w:link w:val="TurbodenCartaIntestata"/>
    <w:rsid w:val="0060744D"/>
    <w:rPr>
      <w:rFonts w:ascii="Calibri Light" w:hAnsi="Calibri Light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888"/>
    <w:rPr>
      <w:rFonts w:ascii="Calibri Light" w:hAnsi="Calibri Light"/>
      <w:i/>
      <w:iCs/>
      <w:sz w:val="24"/>
      <w:szCs w:val="24"/>
    </w:rPr>
  </w:style>
  <w:style w:type="character" w:styleId="IntenseEmphasis">
    <w:name w:val="Intense Emphasis"/>
    <w:basedOn w:val="DefaultParagraphFont"/>
    <w:uiPriority w:val="21"/>
    <w:rsid w:val="00930888"/>
    <w:rPr>
      <w:rFonts w:ascii="Calibri Light" w:hAnsi="Calibri Light"/>
      <w:i/>
      <w:iCs/>
      <w:color w:val="auto"/>
    </w:rPr>
  </w:style>
  <w:style w:type="paragraph" w:styleId="NoSpacing">
    <w:name w:val="No Spacing"/>
    <w:basedOn w:val="TurbodenCartaIntestata"/>
    <w:uiPriority w:val="1"/>
    <w:rsid w:val="00AC3883"/>
  </w:style>
  <w:style w:type="paragraph" w:styleId="Title">
    <w:name w:val="Title"/>
    <w:basedOn w:val="TurbodenCartaIntestata"/>
    <w:next w:val="Normal"/>
    <w:link w:val="TitleChar"/>
    <w:uiPriority w:val="10"/>
    <w:rsid w:val="0093088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0888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TurbodenCartaIntestataCarattere"/>
    <w:uiPriority w:val="19"/>
    <w:rsid w:val="00930888"/>
    <w:rPr>
      <w:rFonts w:ascii="Calibri Light" w:hAnsi="Calibri Light"/>
      <w:i/>
      <w:iCs/>
      <w:color w:val="404040" w:themeColor="text1" w:themeTint="BF"/>
      <w:sz w:val="24"/>
      <w:szCs w:val="24"/>
    </w:rPr>
  </w:style>
  <w:style w:type="character" w:styleId="Emphasis">
    <w:name w:val="Emphasis"/>
    <w:basedOn w:val="TurbodenCartaIntestataCarattere"/>
    <w:uiPriority w:val="20"/>
    <w:rsid w:val="00930888"/>
    <w:rPr>
      <w:rFonts w:ascii="Calibri Light" w:hAnsi="Calibri Light"/>
      <w:i/>
      <w:iCs/>
      <w:sz w:val="24"/>
      <w:szCs w:val="24"/>
    </w:rPr>
  </w:style>
  <w:style w:type="paragraph" w:styleId="Subtitle">
    <w:name w:val="Subtitle"/>
    <w:basedOn w:val="TurbodenCartaIntestata"/>
    <w:next w:val="Normal"/>
    <w:link w:val="SubtitleChar"/>
    <w:uiPriority w:val="11"/>
    <w:rsid w:val="0093088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0888"/>
    <w:rPr>
      <w:rFonts w:ascii="Calibri Light" w:eastAsiaTheme="minorEastAsia" w:hAnsi="Calibri Light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TurbodenCartaIntestataCarattere"/>
    <w:uiPriority w:val="22"/>
    <w:rsid w:val="00930888"/>
    <w:rPr>
      <w:rFonts w:ascii="Calibri Light" w:hAnsi="Calibri Light"/>
      <w:b/>
      <w:bCs/>
      <w:sz w:val="24"/>
      <w:szCs w:val="24"/>
    </w:rPr>
  </w:style>
  <w:style w:type="paragraph" w:styleId="Quote">
    <w:name w:val="Quote"/>
    <w:basedOn w:val="TurbodenCartaIntestata"/>
    <w:next w:val="Normal"/>
    <w:link w:val="QuoteChar"/>
    <w:uiPriority w:val="29"/>
    <w:rsid w:val="009308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0888"/>
    <w:rPr>
      <w:rFonts w:ascii="Calibri Light" w:hAnsi="Calibri Light"/>
      <w:i/>
      <w:iCs/>
      <w:color w:val="404040" w:themeColor="text1" w:themeTint="BF"/>
      <w:sz w:val="24"/>
      <w:szCs w:val="24"/>
    </w:rPr>
  </w:style>
  <w:style w:type="character" w:styleId="SubtleReference">
    <w:name w:val="Subtle Reference"/>
    <w:basedOn w:val="TurbodenCartaIntestataCarattere"/>
    <w:uiPriority w:val="31"/>
    <w:rsid w:val="00930888"/>
    <w:rPr>
      <w:rFonts w:ascii="Calibri Light" w:hAnsi="Calibri Light"/>
      <w:smallCaps/>
      <w:color w:val="auto"/>
      <w:sz w:val="24"/>
      <w:szCs w:val="24"/>
    </w:rPr>
  </w:style>
  <w:style w:type="character" w:styleId="IntenseReference">
    <w:name w:val="Intense Reference"/>
    <w:basedOn w:val="TurbodenCartaIntestataCarattere"/>
    <w:uiPriority w:val="32"/>
    <w:rsid w:val="00930888"/>
    <w:rPr>
      <w:rFonts w:ascii="Calibri Light" w:hAnsi="Calibri Light"/>
      <w:b/>
      <w:bCs/>
      <w:smallCaps/>
      <w:color w:val="auto"/>
      <w:spacing w:val="5"/>
      <w:sz w:val="24"/>
      <w:szCs w:val="24"/>
    </w:rPr>
  </w:style>
  <w:style w:type="character" w:styleId="BookTitle">
    <w:name w:val="Book Title"/>
    <w:basedOn w:val="TurbodenCartaIntestataCarattere"/>
    <w:uiPriority w:val="33"/>
    <w:rsid w:val="00930888"/>
    <w:rPr>
      <w:rFonts w:ascii="Calibri Light" w:hAnsi="Calibri Light"/>
      <w:b/>
      <w:bCs/>
      <w:i/>
      <w:iCs/>
      <w:spacing w:val="5"/>
      <w:sz w:val="24"/>
      <w:szCs w:val="24"/>
    </w:rPr>
  </w:style>
  <w:style w:type="paragraph" w:styleId="ListParagraph">
    <w:name w:val="List Paragraph"/>
    <w:basedOn w:val="TurbodenCartaIntestata"/>
    <w:uiPriority w:val="34"/>
    <w:qFormat/>
    <w:rsid w:val="0093088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9E6804"/>
    <w:rPr>
      <w:rFonts w:ascii="Times" w:hAnsi="Times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6251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96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217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52872"/>
    <w:pPr>
      <w:widowControl w:val="0"/>
      <w:autoSpaceDE w:val="0"/>
      <w:autoSpaceDN w:val="0"/>
    </w:pPr>
    <w:rPr>
      <w:rFonts w:ascii="Calibri Light" w:eastAsia="Calibri Light" w:hAnsi="Calibri Light" w:cs="Calibri Light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52872"/>
    <w:rPr>
      <w:rFonts w:ascii="Calibri Light" w:eastAsia="Calibri Light" w:hAnsi="Calibri Light" w:cs="Calibri Light"/>
      <w:lang w:val="en-US" w:eastAsia="en-US"/>
    </w:rPr>
  </w:style>
  <w:style w:type="paragraph" w:customStyle="1" w:styleId="m2096129792649722231msolistparagraph">
    <w:name w:val="m_2096129792649722231msolistparagraph"/>
    <w:basedOn w:val="Normal"/>
    <w:rsid w:val="00563FC3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.costa\Documents\Modelli%20di%20Office%20personalizzati\2022_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FB823-BA07-4F1B-BB16-FE5DEF20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2022_carta intestata</Template>
  <TotalTime>0</TotalTime>
  <Pages>3</Pages>
  <Words>1000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Turboden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Alessandra Costa</dc:creator>
  <cp:lastModifiedBy>Valentina Medeghini</cp:lastModifiedBy>
  <cp:revision>6</cp:revision>
  <cp:lastPrinted>2022-07-07T10:27:00Z</cp:lastPrinted>
  <dcterms:created xsi:type="dcterms:W3CDTF">2023-11-17T10:18:00Z</dcterms:created>
  <dcterms:modified xsi:type="dcterms:W3CDTF">2023-11-29T11:26:00Z</dcterms:modified>
</cp:coreProperties>
</file>