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C84C9" w14:textId="160C79B4" w:rsidR="001E3390" w:rsidRPr="003D6767" w:rsidRDefault="001E3390" w:rsidP="009550A3">
      <w:pPr>
        <w:rPr>
          <w:b/>
          <w:bCs/>
          <w:sz w:val="22"/>
          <w:szCs w:val="22"/>
          <w:lang w:val="it-IT"/>
        </w:rPr>
      </w:pPr>
      <w:r w:rsidRPr="003D6767">
        <w:rPr>
          <w:b/>
          <w:bCs/>
          <w:sz w:val="22"/>
          <w:szCs w:val="22"/>
          <w:lang w:val="it-IT"/>
        </w:rPr>
        <w:t xml:space="preserve">RBC BlueBay </w:t>
      </w:r>
      <w:r w:rsidR="00C375CC" w:rsidRPr="003D6767">
        <w:rPr>
          <w:b/>
          <w:bCs/>
          <w:sz w:val="22"/>
          <w:szCs w:val="22"/>
          <w:lang w:val="it-IT"/>
        </w:rPr>
        <w:t>–</w:t>
      </w:r>
      <w:r w:rsidRPr="003D6767">
        <w:rPr>
          <w:b/>
          <w:bCs/>
          <w:sz w:val="22"/>
          <w:szCs w:val="22"/>
          <w:lang w:val="it-IT"/>
        </w:rPr>
        <w:t xml:space="preserve"> </w:t>
      </w:r>
      <w:r w:rsidR="00200E32" w:rsidRPr="003D6767">
        <w:rPr>
          <w:b/>
          <w:bCs/>
          <w:sz w:val="22"/>
          <w:szCs w:val="22"/>
          <w:lang w:val="it-IT"/>
        </w:rPr>
        <w:t xml:space="preserve">High yield: prospettive </w:t>
      </w:r>
      <w:r w:rsidR="00276C66" w:rsidRPr="003D6767">
        <w:rPr>
          <w:b/>
          <w:bCs/>
          <w:sz w:val="22"/>
          <w:szCs w:val="22"/>
          <w:lang w:val="it-IT"/>
        </w:rPr>
        <w:t>ottimistiche</w:t>
      </w:r>
      <w:r w:rsidR="00200E32" w:rsidRPr="003D6767">
        <w:rPr>
          <w:b/>
          <w:bCs/>
          <w:sz w:val="22"/>
          <w:szCs w:val="22"/>
          <w:lang w:val="it-IT"/>
        </w:rPr>
        <w:t xml:space="preserve"> </w:t>
      </w:r>
      <w:r w:rsidR="00C375CC" w:rsidRPr="003D6767">
        <w:rPr>
          <w:b/>
          <w:bCs/>
          <w:sz w:val="22"/>
          <w:szCs w:val="22"/>
          <w:lang w:val="it-IT"/>
        </w:rPr>
        <w:t>per il 202</w:t>
      </w:r>
      <w:r w:rsidR="00200E32" w:rsidRPr="003D6767">
        <w:rPr>
          <w:b/>
          <w:bCs/>
          <w:sz w:val="22"/>
          <w:szCs w:val="22"/>
          <w:lang w:val="it-IT"/>
        </w:rPr>
        <w:t>4, focus</w:t>
      </w:r>
      <w:r w:rsidR="00C375CC" w:rsidRPr="003D6767">
        <w:rPr>
          <w:b/>
          <w:bCs/>
          <w:sz w:val="22"/>
          <w:szCs w:val="22"/>
          <w:lang w:val="it-IT"/>
        </w:rPr>
        <w:t xml:space="preserve"> su </w:t>
      </w:r>
      <w:r w:rsidR="00200E32" w:rsidRPr="003D6767">
        <w:rPr>
          <w:b/>
          <w:bCs/>
          <w:sz w:val="22"/>
          <w:szCs w:val="22"/>
          <w:lang w:val="it-IT"/>
        </w:rPr>
        <w:t xml:space="preserve">resilienza e </w:t>
      </w:r>
      <w:r w:rsidR="00C375CC" w:rsidRPr="003D6767">
        <w:rPr>
          <w:b/>
          <w:bCs/>
          <w:sz w:val="22"/>
          <w:szCs w:val="22"/>
          <w:lang w:val="it-IT"/>
        </w:rPr>
        <w:t>qualità</w:t>
      </w:r>
    </w:p>
    <w:p w14:paraId="6B6F8851" w14:textId="77777777" w:rsidR="001E3390" w:rsidRPr="003D6767" w:rsidRDefault="001E3390" w:rsidP="009550A3">
      <w:pPr>
        <w:rPr>
          <w:sz w:val="22"/>
          <w:szCs w:val="22"/>
          <w:lang w:val="it-IT"/>
        </w:rPr>
      </w:pPr>
    </w:p>
    <w:p w14:paraId="32AB4CDB" w14:textId="77A5AF80" w:rsidR="009550A3" w:rsidRPr="003D6767" w:rsidRDefault="001E3390" w:rsidP="009550A3">
      <w:pPr>
        <w:rPr>
          <w:sz w:val="22"/>
          <w:szCs w:val="22"/>
          <w:lang w:val="en-US"/>
        </w:rPr>
      </w:pPr>
      <w:r w:rsidRPr="003D6767">
        <w:rPr>
          <w:sz w:val="22"/>
          <w:szCs w:val="22"/>
          <w:lang w:val="en-US"/>
        </w:rPr>
        <w:t xml:space="preserve">A </w:t>
      </w:r>
      <w:proofErr w:type="spellStart"/>
      <w:r w:rsidRPr="003D6767">
        <w:rPr>
          <w:sz w:val="22"/>
          <w:szCs w:val="22"/>
          <w:lang w:val="en-US"/>
        </w:rPr>
        <w:t>cura</w:t>
      </w:r>
      <w:proofErr w:type="spellEnd"/>
      <w:r w:rsidRPr="003D6767">
        <w:rPr>
          <w:sz w:val="22"/>
          <w:szCs w:val="22"/>
          <w:lang w:val="en-US"/>
        </w:rPr>
        <w:t xml:space="preserve"> di </w:t>
      </w:r>
      <w:r w:rsidR="009550A3" w:rsidRPr="003D6767">
        <w:rPr>
          <w:b/>
          <w:bCs/>
          <w:sz w:val="22"/>
          <w:szCs w:val="22"/>
          <w:lang w:val="en-US"/>
        </w:rPr>
        <w:t>Justin Jewell</w:t>
      </w:r>
      <w:r w:rsidRPr="003D6767">
        <w:rPr>
          <w:b/>
          <w:bCs/>
          <w:sz w:val="22"/>
          <w:szCs w:val="22"/>
          <w:lang w:val="en-US"/>
        </w:rPr>
        <w:t xml:space="preserve">, </w:t>
      </w:r>
      <w:r w:rsidRPr="003D6767">
        <w:rPr>
          <w:b/>
          <w:bCs/>
          <w:sz w:val="22"/>
          <w:szCs w:val="22"/>
        </w:rPr>
        <w:t>Head of BlueBay European High Yield, Senior Portfolio Manager, RBC BlueBay</w:t>
      </w:r>
    </w:p>
    <w:p w14:paraId="35EF22E2" w14:textId="77777777" w:rsidR="009550A3" w:rsidRPr="003D6767" w:rsidRDefault="009550A3" w:rsidP="009550A3">
      <w:pPr>
        <w:rPr>
          <w:sz w:val="22"/>
          <w:szCs w:val="22"/>
          <w:lang w:val="en-US"/>
        </w:rPr>
      </w:pPr>
    </w:p>
    <w:p w14:paraId="2093C41E" w14:textId="150113C2" w:rsidR="000B21A3" w:rsidRPr="003D6767" w:rsidRDefault="00B11F29" w:rsidP="009550A3">
      <w:pPr>
        <w:rPr>
          <w:sz w:val="22"/>
          <w:szCs w:val="22"/>
          <w:lang w:val="it-IT"/>
        </w:rPr>
      </w:pPr>
      <w:r w:rsidRPr="003D6767">
        <w:rPr>
          <w:sz w:val="22"/>
          <w:szCs w:val="22"/>
          <w:lang w:val="it-IT"/>
        </w:rPr>
        <w:t>Quest’anno s</w:t>
      </w:r>
      <w:r w:rsidR="001D6429" w:rsidRPr="003D6767">
        <w:rPr>
          <w:sz w:val="22"/>
          <w:szCs w:val="22"/>
          <w:lang w:val="it-IT"/>
        </w:rPr>
        <w:t xml:space="preserve">i </w:t>
      </w:r>
      <w:r w:rsidR="00CB346E" w:rsidRPr="003D6767">
        <w:rPr>
          <w:sz w:val="22"/>
          <w:szCs w:val="22"/>
          <w:lang w:val="it-IT"/>
        </w:rPr>
        <w:t>sono registrate</w:t>
      </w:r>
      <w:r w:rsidR="000B21A3" w:rsidRPr="003D6767">
        <w:rPr>
          <w:sz w:val="22"/>
          <w:szCs w:val="22"/>
          <w:lang w:val="it-IT"/>
        </w:rPr>
        <w:t xml:space="preserve"> fonti di volatilità</w:t>
      </w:r>
      <w:r w:rsidRPr="003D6767">
        <w:rPr>
          <w:sz w:val="22"/>
          <w:szCs w:val="22"/>
          <w:lang w:val="it-IT"/>
        </w:rPr>
        <w:t xml:space="preserve"> e</w:t>
      </w:r>
      <w:r w:rsidR="000B21A3" w:rsidRPr="003D6767">
        <w:rPr>
          <w:sz w:val="22"/>
          <w:szCs w:val="22"/>
          <w:lang w:val="it-IT"/>
        </w:rPr>
        <w:t xml:space="preserve"> crisi bancari</w:t>
      </w:r>
      <w:r w:rsidR="001E3390" w:rsidRPr="003D6767">
        <w:rPr>
          <w:sz w:val="22"/>
          <w:szCs w:val="22"/>
          <w:lang w:val="it-IT"/>
        </w:rPr>
        <w:t xml:space="preserve">e come </w:t>
      </w:r>
      <w:r w:rsidR="000B21A3" w:rsidRPr="003D6767">
        <w:rPr>
          <w:sz w:val="22"/>
          <w:szCs w:val="22"/>
          <w:lang w:val="it-IT"/>
        </w:rPr>
        <w:t>quella d</w:t>
      </w:r>
      <w:r w:rsidR="00335927" w:rsidRPr="003D6767">
        <w:rPr>
          <w:sz w:val="22"/>
          <w:szCs w:val="22"/>
          <w:lang w:val="it-IT"/>
        </w:rPr>
        <w:t>i</w:t>
      </w:r>
      <w:r w:rsidR="000B21A3" w:rsidRPr="003D6767">
        <w:rPr>
          <w:sz w:val="22"/>
          <w:szCs w:val="22"/>
          <w:lang w:val="it-IT"/>
        </w:rPr>
        <w:t xml:space="preserve"> SVB negli</w:t>
      </w:r>
      <w:r w:rsidR="00335927" w:rsidRPr="003D6767">
        <w:rPr>
          <w:sz w:val="22"/>
          <w:szCs w:val="22"/>
          <w:lang w:val="it-IT"/>
        </w:rPr>
        <w:t xml:space="preserve"> USA</w:t>
      </w:r>
      <w:r w:rsidR="000B21A3" w:rsidRPr="003D6767">
        <w:rPr>
          <w:sz w:val="22"/>
          <w:szCs w:val="22"/>
          <w:lang w:val="it-IT"/>
        </w:rPr>
        <w:t xml:space="preserve">. Nel corso del </w:t>
      </w:r>
      <w:r w:rsidR="001E3390" w:rsidRPr="003D6767">
        <w:rPr>
          <w:sz w:val="22"/>
          <w:szCs w:val="22"/>
          <w:lang w:val="it-IT"/>
        </w:rPr>
        <w:t>secondo e terzo trimestre</w:t>
      </w:r>
      <w:r w:rsidR="0020294E" w:rsidRPr="003D6767">
        <w:rPr>
          <w:sz w:val="22"/>
          <w:szCs w:val="22"/>
          <w:lang w:val="it-IT"/>
        </w:rPr>
        <w:t xml:space="preserve"> </w:t>
      </w:r>
      <w:r w:rsidR="000B21A3" w:rsidRPr="003D6767">
        <w:rPr>
          <w:sz w:val="22"/>
          <w:szCs w:val="22"/>
          <w:lang w:val="it-IT"/>
        </w:rPr>
        <w:t xml:space="preserve">abbiamo assistito a un significativo aumento dei tassi core statunitensi. </w:t>
      </w:r>
      <w:r w:rsidR="00200E32" w:rsidRPr="003D6767">
        <w:rPr>
          <w:sz w:val="22"/>
          <w:szCs w:val="22"/>
          <w:lang w:val="it-IT"/>
        </w:rPr>
        <w:t>A</w:t>
      </w:r>
      <w:r w:rsidRPr="003D6767">
        <w:rPr>
          <w:sz w:val="22"/>
          <w:szCs w:val="22"/>
          <w:lang w:val="it-IT"/>
        </w:rPr>
        <w:t xml:space="preserve"> fine 2023, possiamo effettuare una retrospettiva su un mercato che ha conseguito rendimenti intorno all'8%. Si tratta indicativamente del reddito atteso nel medio termine.</w:t>
      </w:r>
    </w:p>
    <w:p w14:paraId="6AA9870E" w14:textId="77777777" w:rsidR="000B21A3" w:rsidRPr="003D6767" w:rsidRDefault="000B21A3" w:rsidP="009550A3">
      <w:pPr>
        <w:rPr>
          <w:sz w:val="22"/>
          <w:szCs w:val="22"/>
          <w:lang w:val="it-IT"/>
        </w:rPr>
      </w:pPr>
    </w:p>
    <w:p w14:paraId="565A9074" w14:textId="4DC1F5E9" w:rsidR="00AE5453" w:rsidRPr="003D6767" w:rsidRDefault="004078FA" w:rsidP="009550A3">
      <w:pPr>
        <w:rPr>
          <w:sz w:val="22"/>
          <w:szCs w:val="22"/>
          <w:lang w:val="it-IT"/>
        </w:rPr>
      </w:pPr>
      <w:r w:rsidRPr="003D6767">
        <w:rPr>
          <w:b/>
          <w:bCs/>
          <w:sz w:val="22"/>
          <w:szCs w:val="22"/>
          <w:lang w:val="it-IT"/>
        </w:rPr>
        <w:t>Siamo quindi ottimisti sulle prospettive per il 2024</w:t>
      </w:r>
      <w:r w:rsidRPr="003D6767">
        <w:rPr>
          <w:sz w:val="22"/>
          <w:szCs w:val="22"/>
          <w:lang w:val="it-IT"/>
        </w:rPr>
        <w:t>. Il cambiamento di regime sui costi di finanziamento</w:t>
      </w:r>
      <w:r w:rsidR="00200E32" w:rsidRPr="003D6767">
        <w:rPr>
          <w:sz w:val="22"/>
          <w:szCs w:val="22"/>
          <w:lang w:val="it-IT"/>
        </w:rPr>
        <w:t xml:space="preserve"> —</w:t>
      </w:r>
      <w:r w:rsidRPr="003D6767">
        <w:rPr>
          <w:sz w:val="22"/>
          <w:szCs w:val="22"/>
          <w:lang w:val="it-IT"/>
        </w:rPr>
        <w:t xml:space="preserve"> </w:t>
      </w:r>
      <w:r w:rsidR="00200E32" w:rsidRPr="003D6767">
        <w:rPr>
          <w:sz w:val="22"/>
          <w:szCs w:val="22"/>
          <w:lang w:val="it-IT"/>
        </w:rPr>
        <w:t>il</w:t>
      </w:r>
      <w:r w:rsidRPr="003D6767">
        <w:rPr>
          <w:sz w:val="22"/>
          <w:szCs w:val="22"/>
          <w:lang w:val="it-IT"/>
        </w:rPr>
        <w:t xml:space="preserve"> trasferimento di valore dai proprietari delle </w:t>
      </w:r>
      <w:r w:rsidR="00E3618F" w:rsidRPr="003D6767">
        <w:rPr>
          <w:sz w:val="22"/>
          <w:szCs w:val="22"/>
          <w:lang w:val="it-IT"/>
        </w:rPr>
        <w:t>aziende</w:t>
      </w:r>
      <w:r w:rsidRPr="003D6767">
        <w:rPr>
          <w:sz w:val="22"/>
          <w:szCs w:val="22"/>
          <w:lang w:val="it-IT"/>
        </w:rPr>
        <w:t>, dal capitale proprio, ai finanziatori, o</w:t>
      </w:r>
      <w:r w:rsidR="00200E32" w:rsidRPr="003D6767">
        <w:rPr>
          <w:sz w:val="22"/>
          <w:szCs w:val="22"/>
          <w:lang w:val="it-IT"/>
        </w:rPr>
        <w:t>ssia</w:t>
      </w:r>
      <w:r w:rsidRPr="003D6767">
        <w:rPr>
          <w:sz w:val="22"/>
          <w:szCs w:val="22"/>
          <w:lang w:val="it-IT"/>
        </w:rPr>
        <w:t xml:space="preserve"> ai creditori come noi, </w:t>
      </w:r>
      <w:r w:rsidR="00E3618F" w:rsidRPr="003D6767">
        <w:rPr>
          <w:sz w:val="22"/>
          <w:szCs w:val="22"/>
          <w:lang w:val="it-IT"/>
        </w:rPr>
        <w:t>a</w:t>
      </w:r>
      <w:r w:rsidRPr="003D6767">
        <w:rPr>
          <w:sz w:val="22"/>
          <w:szCs w:val="22"/>
          <w:lang w:val="it-IT"/>
        </w:rPr>
        <w:t>i nostri portafogli</w:t>
      </w:r>
      <w:r w:rsidR="00200E32" w:rsidRPr="003D6767">
        <w:rPr>
          <w:sz w:val="22"/>
          <w:szCs w:val="22"/>
          <w:lang w:val="it-IT"/>
        </w:rPr>
        <w:t xml:space="preserve"> —</w:t>
      </w:r>
      <w:r w:rsidRPr="003D6767">
        <w:rPr>
          <w:sz w:val="22"/>
          <w:szCs w:val="22"/>
          <w:lang w:val="it-IT"/>
        </w:rPr>
        <w:t xml:space="preserve"> rappresenta un </w:t>
      </w:r>
      <w:r w:rsidR="00E3618F" w:rsidRPr="003D6767">
        <w:rPr>
          <w:sz w:val="22"/>
          <w:szCs w:val="22"/>
          <w:lang w:val="it-IT"/>
        </w:rPr>
        <w:t>mutamento</w:t>
      </w:r>
      <w:r w:rsidRPr="003D6767">
        <w:rPr>
          <w:sz w:val="22"/>
          <w:szCs w:val="22"/>
          <w:lang w:val="it-IT"/>
        </w:rPr>
        <w:t xml:space="preserve"> importante </w:t>
      </w:r>
      <w:r w:rsidR="00E3618F" w:rsidRPr="003D6767">
        <w:rPr>
          <w:sz w:val="22"/>
          <w:szCs w:val="22"/>
          <w:lang w:val="it-IT"/>
        </w:rPr>
        <w:t>delle</w:t>
      </w:r>
      <w:r w:rsidRPr="003D6767">
        <w:rPr>
          <w:sz w:val="22"/>
          <w:szCs w:val="22"/>
          <w:lang w:val="it-IT"/>
        </w:rPr>
        <w:t xml:space="preserve"> prospettive per i ricavi nei prossimi cinque anni. E non ci aspettiamo che il 2024 sia diverso. Quindi </w:t>
      </w:r>
      <w:r w:rsidRPr="003D6767">
        <w:rPr>
          <w:b/>
          <w:bCs/>
          <w:sz w:val="22"/>
          <w:szCs w:val="22"/>
          <w:lang w:val="it-IT"/>
        </w:rPr>
        <w:t>un reddito iniziale più elevato, unit</w:t>
      </w:r>
      <w:r w:rsidR="006209BF" w:rsidRPr="003D6767">
        <w:rPr>
          <w:b/>
          <w:bCs/>
          <w:sz w:val="22"/>
          <w:szCs w:val="22"/>
          <w:lang w:val="it-IT"/>
        </w:rPr>
        <w:t>amente</w:t>
      </w:r>
      <w:r w:rsidRPr="003D6767">
        <w:rPr>
          <w:b/>
          <w:bCs/>
          <w:sz w:val="22"/>
          <w:szCs w:val="22"/>
          <w:lang w:val="it-IT"/>
        </w:rPr>
        <w:t xml:space="preserve"> a una prospettiva di </w:t>
      </w:r>
      <w:r w:rsidR="006209BF" w:rsidRPr="003D6767">
        <w:rPr>
          <w:b/>
          <w:bCs/>
          <w:sz w:val="22"/>
          <w:szCs w:val="22"/>
          <w:lang w:val="it-IT"/>
        </w:rPr>
        <w:t xml:space="preserve">default </w:t>
      </w:r>
      <w:r w:rsidRPr="003D6767">
        <w:rPr>
          <w:b/>
          <w:bCs/>
          <w:sz w:val="22"/>
          <w:szCs w:val="22"/>
          <w:lang w:val="it-IT"/>
        </w:rPr>
        <w:t xml:space="preserve">relativamente modesta, </w:t>
      </w:r>
      <w:r w:rsidR="00200E32" w:rsidRPr="003D6767">
        <w:rPr>
          <w:b/>
          <w:bCs/>
          <w:sz w:val="22"/>
          <w:szCs w:val="22"/>
          <w:lang w:val="it-IT"/>
        </w:rPr>
        <w:t xml:space="preserve">potrebbe </w:t>
      </w:r>
      <w:r w:rsidR="006209BF" w:rsidRPr="003D6767">
        <w:rPr>
          <w:b/>
          <w:bCs/>
          <w:sz w:val="22"/>
          <w:szCs w:val="22"/>
          <w:lang w:val="it-IT"/>
        </w:rPr>
        <w:t>determina</w:t>
      </w:r>
      <w:r w:rsidR="00200E32" w:rsidRPr="003D6767">
        <w:rPr>
          <w:b/>
          <w:bCs/>
          <w:sz w:val="22"/>
          <w:szCs w:val="22"/>
          <w:lang w:val="it-IT"/>
        </w:rPr>
        <w:t>re</w:t>
      </w:r>
      <w:r w:rsidRPr="003D6767">
        <w:rPr>
          <w:b/>
          <w:bCs/>
          <w:sz w:val="22"/>
          <w:szCs w:val="22"/>
          <w:lang w:val="it-IT"/>
        </w:rPr>
        <w:t xml:space="preserve"> rendimenti piuttosto elevati nel 2024</w:t>
      </w:r>
      <w:r w:rsidRPr="003D6767">
        <w:rPr>
          <w:sz w:val="22"/>
          <w:szCs w:val="22"/>
          <w:lang w:val="it-IT"/>
        </w:rPr>
        <w:t xml:space="preserve">. Naturalmente </w:t>
      </w:r>
      <w:r w:rsidR="006209BF" w:rsidRPr="003D6767">
        <w:rPr>
          <w:sz w:val="22"/>
          <w:szCs w:val="22"/>
          <w:lang w:val="it-IT"/>
        </w:rPr>
        <w:t>sono presenti</w:t>
      </w:r>
      <w:r w:rsidRPr="003D6767">
        <w:rPr>
          <w:sz w:val="22"/>
          <w:szCs w:val="22"/>
          <w:lang w:val="it-IT"/>
        </w:rPr>
        <w:t xml:space="preserve"> delle sfide da affrontare. </w:t>
      </w:r>
      <w:r w:rsidR="007A6222" w:rsidRPr="003D6767">
        <w:rPr>
          <w:sz w:val="22"/>
          <w:szCs w:val="22"/>
          <w:lang w:val="it-IT"/>
        </w:rPr>
        <w:t>Individuiamo</w:t>
      </w:r>
      <w:r w:rsidRPr="003D6767">
        <w:rPr>
          <w:sz w:val="22"/>
          <w:szCs w:val="22"/>
          <w:lang w:val="it-IT"/>
        </w:rPr>
        <w:t xml:space="preserve"> </w:t>
      </w:r>
      <w:r w:rsidR="00B11F29" w:rsidRPr="003D6767">
        <w:rPr>
          <w:sz w:val="22"/>
          <w:szCs w:val="22"/>
          <w:lang w:val="it-IT"/>
        </w:rPr>
        <w:t xml:space="preserve">dei fattori di attenzione </w:t>
      </w:r>
      <w:r w:rsidR="007A6222" w:rsidRPr="003D6767">
        <w:rPr>
          <w:sz w:val="22"/>
          <w:szCs w:val="22"/>
          <w:lang w:val="it-IT"/>
        </w:rPr>
        <w:t>su</w:t>
      </w:r>
      <w:r w:rsidRPr="003D6767">
        <w:rPr>
          <w:sz w:val="22"/>
          <w:szCs w:val="22"/>
          <w:lang w:val="it-IT"/>
        </w:rPr>
        <w:t xml:space="preserve"> alcuni mercati finali. </w:t>
      </w:r>
      <w:r w:rsidR="00C11221" w:rsidRPr="003D6767">
        <w:rPr>
          <w:sz w:val="22"/>
          <w:szCs w:val="22"/>
          <w:lang w:val="it-IT"/>
        </w:rPr>
        <w:t>Osserviamo</w:t>
      </w:r>
      <w:r w:rsidRPr="003D6767">
        <w:rPr>
          <w:sz w:val="22"/>
          <w:szCs w:val="22"/>
          <w:lang w:val="it-IT"/>
        </w:rPr>
        <w:t xml:space="preserve"> l'impatto </w:t>
      </w:r>
      <w:r w:rsidR="00C11221" w:rsidRPr="003D6767">
        <w:rPr>
          <w:sz w:val="22"/>
          <w:szCs w:val="22"/>
          <w:lang w:val="it-IT"/>
        </w:rPr>
        <w:t xml:space="preserve">del rialzo </w:t>
      </w:r>
      <w:r w:rsidRPr="003D6767">
        <w:rPr>
          <w:sz w:val="22"/>
          <w:szCs w:val="22"/>
          <w:lang w:val="it-IT"/>
        </w:rPr>
        <w:t xml:space="preserve">dei tassi su settori come l'edilizia in Europa e </w:t>
      </w:r>
      <w:r w:rsidR="00630D10" w:rsidRPr="003D6767">
        <w:rPr>
          <w:sz w:val="22"/>
          <w:szCs w:val="22"/>
          <w:lang w:val="it-IT"/>
        </w:rPr>
        <w:t xml:space="preserve">su </w:t>
      </w:r>
      <w:r w:rsidRPr="003D6767">
        <w:rPr>
          <w:sz w:val="22"/>
          <w:szCs w:val="22"/>
          <w:lang w:val="it-IT"/>
        </w:rPr>
        <w:t xml:space="preserve">alcuni dei settori più industriali. </w:t>
      </w:r>
      <w:r w:rsidR="00C16EB9" w:rsidRPr="003D6767">
        <w:rPr>
          <w:sz w:val="22"/>
          <w:szCs w:val="22"/>
          <w:lang w:val="it-IT"/>
        </w:rPr>
        <w:t>Naturalmente</w:t>
      </w:r>
      <w:r w:rsidR="00630D10" w:rsidRPr="003D6767">
        <w:rPr>
          <w:sz w:val="22"/>
          <w:szCs w:val="22"/>
          <w:lang w:val="it-IT"/>
        </w:rPr>
        <w:t>,</w:t>
      </w:r>
      <w:r w:rsidRPr="003D6767">
        <w:rPr>
          <w:sz w:val="22"/>
          <w:szCs w:val="22"/>
          <w:lang w:val="it-IT"/>
        </w:rPr>
        <w:t xml:space="preserve"> </w:t>
      </w:r>
      <w:r w:rsidR="00C16EB9" w:rsidRPr="003D6767">
        <w:rPr>
          <w:sz w:val="22"/>
          <w:szCs w:val="22"/>
          <w:lang w:val="it-IT"/>
        </w:rPr>
        <w:t>n</w:t>
      </w:r>
      <w:r w:rsidR="00C11221" w:rsidRPr="003D6767">
        <w:rPr>
          <w:sz w:val="22"/>
          <w:szCs w:val="22"/>
          <w:lang w:val="it-IT"/>
        </w:rPr>
        <w:t xml:space="preserve">el corso del </w:t>
      </w:r>
      <w:r w:rsidR="00200E32" w:rsidRPr="003D6767">
        <w:rPr>
          <w:sz w:val="22"/>
          <w:szCs w:val="22"/>
          <w:lang w:val="it-IT"/>
        </w:rPr>
        <w:t>prossimo anno</w:t>
      </w:r>
      <w:r w:rsidRPr="003D6767">
        <w:rPr>
          <w:sz w:val="22"/>
          <w:szCs w:val="22"/>
          <w:lang w:val="it-IT"/>
        </w:rPr>
        <w:t xml:space="preserve"> la nostra prospettiva potrebbe cambiare</w:t>
      </w:r>
      <w:r w:rsidR="00C16EB9" w:rsidRPr="003D6767">
        <w:rPr>
          <w:sz w:val="22"/>
          <w:szCs w:val="22"/>
          <w:lang w:val="it-IT"/>
        </w:rPr>
        <w:t>,</w:t>
      </w:r>
      <w:r w:rsidRPr="003D6767">
        <w:rPr>
          <w:sz w:val="22"/>
          <w:szCs w:val="22"/>
          <w:lang w:val="it-IT"/>
        </w:rPr>
        <w:t xml:space="preserve"> quando l'impatto si manifesterà sui mercati statunitensi</w:t>
      </w:r>
      <w:r w:rsidR="009550A3" w:rsidRPr="003D6767">
        <w:rPr>
          <w:sz w:val="22"/>
          <w:szCs w:val="22"/>
          <w:lang w:val="it-IT"/>
        </w:rPr>
        <w:t xml:space="preserve">. </w:t>
      </w:r>
      <w:r w:rsidR="00AE5453" w:rsidRPr="003D6767">
        <w:rPr>
          <w:sz w:val="22"/>
          <w:szCs w:val="22"/>
          <w:lang w:val="it-IT"/>
        </w:rPr>
        <w:t xml:space="preserve">Ma, considerato che </w:t>
      </w:r>
      <w:r w:rsidR="00AE5453" w:rsidRPr="003D6767">
        <w:rPr>
          <w:b/>
          <w:bCs/>
          <w:sz w:val="22"/>
          <w:szCs w:val="22"/>
          <w:lang w:val="it-IT"/>
        </w:rPr>
        <w:t>i default</w:t>
      </w:r>
      <w:r w:rsidR="00AE5453" w:rsidRPr="003D6767">
        <w:rPr>
          <w:sz w:val="22"/>
          <w:szCs w:val="22"/>
          <w:lang w:val="it-IT"/>
        </w:rPr>
        <w:t xml:space="preserve"> sono stati molto bassi nel 2021 e quasi null</w:t>
      </w:r>
      <w:r w:rsidR="00630D10" w:rsidRPr="003D6767">
        <w:rPr>
          <w:sz w:val="22"/>
          <w:szCs w:val="22"/>
          <w:lang w:val="it-IT"/>
        </w:rPr>
        <w:t>i</w:t>
      </w:r>
      <w:r w:rsidR="00C16EB9" w:rsidRPr="003D6767">
        <w:rPr>
          <w:sz w:val="22"/>
          <w:szCs w:val="22"/>
          <w:lang w:val="it-IT"/>
        </w:rPr>
        <w:t xml:space="preserve"> nel 2022</w:t>
      </w:r>
      <w:r w:rsidR="00AE5453" w:rsidRPr="003D6767">
        <w:rPr>
          <w:sz w:val="22"/>
          <w:szCs w:val="22"/>
          <w:lang w:val="it-IT"/>
        </w:rPr>
        <w:t xml:space="preserve">, e </w:t>
      </w:r>
      <w:r w:rsidR="00630D10" w:rsidRPr="003D6767">
        <w:rPr>
          <w:sz w:val="22"/>
          <w:szCs w:val="22"/>
          <w:lang w:val="it-IT"/>
        </w:rPr>
        <w:t xml:space="preserve">che </w:t>
      </w:r>
      <w:r w:rsidR="00AE5453" w:rsidRPr="003D6767">
        <w:rPr>
          <w:b/>
          <w:bCs/>
          <w:sz w:val="22"/>
          <w:szCs w:val="22"/>
          <w:lang w:val="it-IT"/>
        </w:rPr>
        <w:t xml:space="preserve">iniziano a </w:t>
      </w:r>
      <w:r w:rsidR="00630D10" w:rsidRPr="003D6767">
        <w:rPr>
          <w:b/>
          <w:bCs/>
          <w:sz w:val="22"/>
          <w:szCs w:val="22"/>
          <w:lang w:val="it-IT"/>
        </w:rPr>
        <w:t>crescere</w:t>
      </w:r>
      <w:r w:rsidR="00AE5453" w:rsidRPr="003D6767">
        <w:rPr>
          <w:b/>
          <w:bCs/>
          <w:sz w:val="22"/>
          <w:szCs w:val="22"/>
          <w:lang w:val="it-IT"/>
        </w:rPr>
        <w:t xml:space="preserve"> un po' nel 2023, </w:t>
      </w:r>
      <w:r w:rsidR="00630D10" w:rsidRPr="003D6767">
        <w:rPr>
          <w:b/>
          <w:bCs/>
          <w:sz w:val="22"/>
          <w:szCs w:val="22"/>
          <w:lang w:val="it-IT"/>
        </w:rPr>
        <w:t xml:space="preserve">riteniamo </w:t>
      </w:r>
      <w:r w:rsidR="00AE5453" w:rsidRPr="003D6767">
        <w:rPr>
          <w:b/>
          <w:bCs/>
          <w:sz w:val="22"/>
          <w:szCs w:val="22"/>
          <w:lang w:val="it-IT"/>
        </w:rPr>
        <w:t xml:space="preserve">che </w:t>
      </w:r>
      <w:r w:rsidR="00630D10" w:rsidRPr="003D6767">
        <w:rPr>
          <w:b/>
          <w:bCs/>
          <w:sz w:val="22"/>
          <w:szCs w:val="22"/>
          <w:lang w:val="it-IT"/>
        </w:rPr>
        <w:t>essi</w:t>
      </w:r>
      <w:r w:rsidR="00AE5453" w:rsidRPr="003D6767">
        <w:rPr>
          <w:b/>
          <w:bCs/>
          <w:sz w:val="22"/>
          <w:szCs w:val="22"/>
          <w:lang w:val="it-IT"/>
        </w:rPr>
        <w:t xml:space="preserve"> aumenteranno</w:t>
      </w:r>
      <w:r w:rsidR="00B11F29" w:rsidRPr="003D6767">
        <w:rPr>
          <w:b/>
          <w:bCs/>
          <w:sz w:val="22"/>
          <w:szCs w:val="22"/>
          <w:lang w:val="it-IT"/>
        </w:rPr>
        <w:t xml:space="preserve"> a</w:t>
      </w:r>
      <w:r w:rsidR="005C7F3E" w:rsidRPr="003D6767">
        <w:rPr>
          <w:b/>
          <w:bCs/>
          <w:sz w:val="22"/>
          <w:szCs w:val="22"/>
          <w:lang w:val="it-IT"/>
        </w:rPr>
        <w:t xml:space="preserve"> </w:t>
      </w:r>
      <w:r w:rsidR="00360FCD" w:rsidRPr="003D6767">
        <w:rPr>
          <w:b/>
          <w:bCs/>
          <w:sz w:val="22"/>
          <w:szCs w:val="22"/>
          <w:lang w:val="it-IT"/>
        </w:rPr>
        <w:t>una cifra</w:t>
      </w:r>
      <w:r w:rsidR="00AE5453" w:rsidRPr="003D6767">
        <w:rPr>
          <w:b/>
          <w:bCs/>
          <w:sz w:val="22"/>
          <w:szCs w:val="22"/>
          <w:lang w:val="it-IT"/>
        </w:rPr>
        <w:t xml:space="preserve"> indicativ</w:t>
      </w:r>
      <w:r w:rsidR="00360FCD" w:rsidRPr="003D6767">
        <w:rPr>
          <w:b/>
          <w:bCs/>
          <w:sz w:val="22"/>
          <w:szCs w:val="22"/>
          <w:lang w:val="it-IT"/>
        </w:rPr>
        <w:t>a</w:t>
      </w:r>
      <w:r w:rsidR="00AE5453" w:rsidRPr="003D6767">
        <w:rPr>
          <w:b/>
          <w:bCs/>
          <w:sz w:val="22"/>
          <w:szCs w:val="22"/>
          <w:lang w:val="it-IT"/>
        </w:rPr>
        <w:t xml:space="preserve"> del 3</w:t>
      </w:r>
      <w:r w:rsidR="005C7F3E" w:rsidRPr="003D6767">
        <w:rPr>
          <w:b/>
          <w:bCs/>
          <w:sz w:val="22"/>
          <w:szCs w:val="22"/>
          <w:lang w:val="it-IT"/>
        </w:rPr>
        <w:t>-</w:t>
      </w:r>
      <w:r w:rsidR="00AE5453" w:rsidRPr="003D6767">
        <w:rPr>
          <w:b/>
          <w:bCs/>
          <w:sz w:val="22"/>
          <w:szCs w:val="22"/>
          <w:lang w:val="it-IT"/>
        </w:rPr>
        <w:t>4%</w:t>
      </w:r>
      <w:r w:rsidR="00AE5453" w:rsidRPr="003D6767">
        <w:rPr>
          <w:sz w:val="22"/>
          <w:szCs w:val="22"/>
          <w:lang w:val="it-IT"/>
        </w:rPr>
        <w:t xml:space="preserve">. </w:t>
      </w:r>
      <w:r w:rsidR="00C16EB9" w:rsidRPr="003D6767">
        <w:rPr>
          <w:sz w:val="22"/>
          <w:szCs w:val="22"/>
          <w:lang w:val="it-IT"/>
        </w:rPr>
        <w:t xml:space="preserve">È </w:t>
      </w:r>
      <w:r w:rsidR="00AE5453" w:rsidRPr="003D6767">
        <w:rPr>
          <w:sz w:val="22"/>
          <w:szCs w:val="22"/>
          <w:lang w:val="it-IT"/>
        </w:rPr>
        <w:t>un ostacolo piuttosto modesto, dato che il reddito iniziale è molto alto, pari all'8,5% o al 9%. Per il 2024, quindi, prevediamo ricavi positivi</w:t>
      </w:r>
      <w:r w:rsidR="005C7F3E" w:rsidRPr="003D6767">
        <w:rPr>
          <w:sz w:val="22"/>
          <w:szCs w:val="22"/>
          <w:lang w:val="it-IT"/>
        </w:rPr>
        <w:t xml:space="preserve"> e c</w:t>
      </w:r>
      <w:r w:rsidR="00AE5453" w:rsidRPr="003D6767">
        <w:rPr>
          <w:sz w:val="22"/>
          <w:szCs w:val="22"/>
          <w:lang w:val="it-IT"/>
        </w:rPr>
        <w:t xml:space="preserve">i aspettiamo che </w:t>
      </w:r>
      <w:r w:rsidR="005203D5" w:rsidRPr="003D6767">
        <w:rPr>
          <w:sz w:val="22"/>
          <w:szCs w:val="22"/>
          <w:lang w:val="it-IT"/>
        </w:rPr>
        <w:t xml:space="preserve">un buon </w:t>
      </w:r>
      <w:proofErr w:type="spellStart"/>
      <w:r w:rsidR="005203D5" w:rsidRPr="003D6767">
        <w:rPr>
          <w:sz w:val="22"/>
          <w:szCs w:val="22"/>
          <w:lang w:val="it-IT"/>
        </w:rPr>
        <w:t>carry</w:t>
      </w:r>
      <w:proofErr w:type="spellEnd"/>
      <w:r w:rsidR="00AE5453" w:rsidRPr="003D6767">
        <w:rPr>
          <w:sz w:val="22"/>
          <w:szCs w:val="22"/>
          <w:lang w:val="it-IT"/>
        </w:rPr>
        <w:t xml:space="preserve"> </w:t>
      </w:r>
      <w:r w:rsidR="00B11F29" w:rsidRPr="003D6767">
        <w:rPr>
          <w:sz w:val="22"/>
          <w:szCs w:val="22"/>
          <w:lang w:val="it-IT"/>
        </w:rPr>
        <w:t xml:space="preserve">superi qualsiasi sfida che vediamo in </w:t>
      </w:r>
      <w:r w:rsidR="0044323D" w:rsidRPr="003D6767">
        <w:rPr>
          <w:sz w:val="22"/>
          <w:szCs w:val="22"/>
          <w:lang w:val="it-IT"/>
        </w:rPr>
        <w:t>arrivo</w:t>
      </w:r>
      <w:r w:rsidR="00AE5453" w:rsidRPr="003D6767">
        <w:rPr>
          <w:sz w:val="22"/>
          <w:szCs w:val="22"/>
          <w:lang w:val="it-IT"/>
        </w:rPr>
        <w:t xml:space="preserve">. </w:t>
      </w:r>
    </w:p>
    <w:p w14:paraId="3895338C" w14:textId="77777777" w:rsidR="009550A3" w:rsidRPr="003D6767" w:rsidRDefault="009550A3" w:rsidP="009550A3">
      <w:pPr>
        <w:rPr>
          <w:sz w:val="22"/>
          <w:szCs w:val="22"/>
          <w:lang w:val="it-IT"/>
        </w:rPr>
      </w:pPr>
    </w:p>
    <w:p w14:paraId="33A29E1A" w14:textId="2503B959" w:rsidR="00B11F29" w:rsidRPr="003D6767" w:rsidRDefault="004B6D80" w:rsidP="009550A3">
      <w:pPr>
        <w:rPr>
          <w:sz w:val="22"/>
          <w:szCs w:val="22"/>
          <w:lang w:val="it-IT"/>
        </w:rPr>
      </w:pPr>
      <w:r w:rsidRPr="003D6767">
        <w:rPr>
          <w:sz w:val="22"/>
          <w:szCs w:val="22"/>
          <w:lang w:val="it-IT"/>
        </w:rPr>
        <w:t>La grande opportunità per il comparto high yield l'anno prossimo consiste nel</w:t>
      </w:r>
      <w:r w:rsidR="00360FCD" w:rsidRPr="003D6767">
        <w:rPr>
          <w:sz w:val="22"/>
          <w:szCs w:val="22"/>
          <w:lang w:val="it-IT"/>
        </w:rPr>
        <w:t xml:space="preserve">l’assicurare </w:t>
      </w:r>
      <w:r w:rsidRPr="003D6767">
        <w:rPr>
          <w:sz w:val="22"/>
          <w:szCs w:val="22"/>
          <w:lang w:val="it-IT"/>
        </w:rPr>
        <w:t xml:space="preserve">reddito per le società con una buona performance. </w:t>
      </w:r>
      <w:r w:rsidRPr="003D6767">
        <w:rPr>
          <w:b/>
          <w:bCs/>
          <w:sz w:val="22"/>
          <w:szCs w:val="22"/>
          <w:lang w:val="it-IT"/>
        </w:rPr>
        <w:t>Ci siamo concentrati su</w:t>
      </w:r>
      <w:r w:rsidR="00360FCD" w:rsidRPr="003D6767">
        <w:rPr>
          <w:b/>
          <w:bCs/>
          <w:sz w:val="22"/>
          <w:szCs w:val="22"/>
          <w:lang w:val="it-IT"/>
        </w:rPr>
        <w:t xml:space="preserve"> una maggiore</w:t>
      </w:r>
      <w:r w:rsidRPr="003D6767">
        <w:rPr>
          <w:b/>
          <w:bCs/>
          <w:sz w:val="22"/>
          <w:szCs w:val="22"/>
          <w:lang w:val="it-IT"/>
        </w:rPr>
        <w:t xml:space="preserve"> qualità del credito</w:t>
      </w:r>
      <w:r w:rsidR="00902EEA" w:rsidRPr="003D6767">
        <w:rPr>
          <w:b/>
          <w:bCs/>
          <w:sz w:val="22"/>
          <w:szCs w:val="22"/>
          <w:lang w:val="it-IT"/>
        </w:rPr>
        <w:t>,</w:t>
      </w:r>
      <w:r w:rsidRPr="003D6767">
        <w:rPr>
          <w:b/>
          <w:bCs/>
          <w:sz w:val="22"/>
          <w:szCs w:val="22"/>
          <w:lang w:val="it-IT"/>
        </w:rPr>
        <w:t xml:space="preserve"> </w:t>
      </w:r>
      <w:r w:rsidR="00902EEA" w:rsidRPr="003D6767">
        <w:rPr>
          <w:b/>
          <w:bCs/>
          <w:sz w:val="22"/>
          <w:szCs w:val="22"/>
          <w:lang w:val="it-IT"/>
        </w:rPr>
        <w:t xml:space="preserve">su </w:t>
      </w:r>
      <w:r w:rsidRPr="003D6767">
        <w:rPr>
          <w:b/>
          <w:bCs/>
          <w:sz w:val="22"/>
          <w:szCs w:val="22"/>
          <w:lang w:val="it-IT"/>
        </w:rPr>
        <w:t xml:space="preserve">aziende che sono resilienti, difensive e che forniranno costantemente </w:t>
      </w:r>
      <w:r w:rsidR="00B11F29" w:rsidRPr="003D6767">
        <w:rPr>
          <w:b/>
          <w:bCs/>
          <w:sz w:val="22"/>
          <w:szCs w:val="22"/>
          <w:lang w:val="it-IT"/>
        </w:rPr>
        <w:t xml:space="preserve">rendimento </w:t>
      </w:r>
      <w:r w:rsidRPr="003D6767">
        <w:rPr>
          <w:b/>
          <w:bCs/>
          <w:sz w:val="22"/>
          <w:szCs w:val="22"/>
          <w:lang w:val="it-IT"/>
        </w:rPr>
        <w:t>ai nostri portafogli</w:t>
      </w:r>
      <w:r w:rsidR="009550A3" w:rsidRPr="003D6767">
        <w:rPr>
          <w:sz w:val="22"/>
          <w:szCs w:val="22"/>
          <w:lang w:val="it-IT"/>
        </w:rPr>
        <w:t xml:space="preserve">. </w:t>
      </w:r>
      <w:r w:rsidR="001E0E12" w:rsidRPr="003D6767">
        <w:rPr>
          <w:sz w:val="22"/>
          <w:szCs w:val="22"/>
          <w:lang w:val="it-IT"/>
        </w:rPr>
        <w:t>Siamo</w:t>
      </w:r>
      <w:r w:rsidR="00C16EB9" w:rsidRPr="003D6767">
        <w:rPr>
          <w:sz w:val="22"/>
          <w:szCs w:val="22"/>
          <w:lang w:val="it-IT"/>
        </w:rPr>
        <w:t>,</w:t>
      </w:r>
      <w:r w:rsidR="001E0E12" w:rsidRPr="003D6767">
        <w:rPr>
          <w:sz w:val="22"/>
          <w:szCs w:val="22"/>
          <w:lang w:val="it-IT"/>
        </w:rPr>
        <w:t xml:space="preserve"> invece</w:t>
      </w:r>
      <w:r w:rsidR="00C16EB9" w:rsidRPr="003D6767">
        <w:rPr>
          <w:sz w:val="22"/>
          <w:szCs w:val="22"/>
          <w:lang w:val="it-IT"/>
        </w:rPr>
        <w:t>,</w:t>
      </w:r>
      <w:r w:rsidR="001E0E12" w:rsidRPr="003D6767">
        <w:rPr>
          <w:sz w:val="22"/>
          <w:szCs w:val="22"/>
          <w:lang w:val="it-IT"/>
        </w:rPr>
        <w:t xml:space="preserve"> stati un po' più cauti nei confronti delle aziende che sono meno in grado di sopportare questo forte aumento dei costi degli interessi. Gli emittenti </w:t>
      </w:r>
      <w:r w:rsidR="00902EEA" w:rsidRPr="003D6767">
        <w:rPr>
          <w:sz w:val="22"/>
          <w:szCs w:val="22"/>
          <w:lang w:val="it-IT"/>
        </w:rPr>
        <w:t xml:space="preserve">dotati della </w:t>
      </w:r>
      <w:r w:rsidR="001E0E12" w:rsidRPr="003D6767">
        <w:rPr>
          <w:sz w:val="22"/>
          <w:szCs w:val="22"/>
          <w:lang w:val="it-IT"/>
        </w:rPr>
        <w:t>maggiore leva finanziaria e</w:t>
      </w:r>
      <w:r w:rsidR="00902EEA" w:rsidRPr="003D6767">
        <w:rPr>
          <w:sz w:val="22"/>
          <w:szCs w:val="22"/>
          <w:lang w:val="it-IT"/>
        </w:rPr>
        <w:t>,</w:t>
      </w:r>
      <w:r w:rsidR="001E0E12" w:rsidRPr="003D6767">
        <w:rPr>
          <w:sz w:val="22"/>
          <w:szCs w:val="22"/>
          <w:lang w:val="it-IT"/>
        </w:rPr>
        <w:t xml:space="preserve"> forse</w:t>
      </w:r>
      <w:r w:rsidR="00902EEA" w:rsidRPr="003D6767">
        <w:rPr>
          <w:sz w:val="22"/>
          <w:szCs w:val="22"/>
          <w:lang w:val="it-IT"/>
        </w:rPr>
        <w:t>,</w:t>
      </w:r>
      <w:r w:rsidR="001E0E12" w:rsidRPr="003D6767">
        <w:rPr>
          <w:sz w:val="22"/>
          <w:szCs w:val="22"/>
          <w:lang w:val="it-IT"/>
        </w:rPr>
        <w:t xml:space="preserve"> col rating più basso, </w:t>
      </w:r>
      <w:r w:rsidR="00902EEA" w:rsidRPr="003D6767">
        <w:rPr>
          <w:sz w:val="22"/>
          <w:szCs w:val="22"/>
          <w:lang w:val="it-IT"/>
        </w:rPr>
        <w:t xml:space="preserve">CCC, </w:t>
      </w:r>
      <w:r w:rsidR="001E0E12" w:rsidRPr="003D6767">
        <w:rPr>
          <w:sz w:val="22"/>
          <w:szCs w:val="22"/>
          <w:lang w:val="it-IT"/>
        </w:rPr>
        <w:t xml:space="preserve">a nostro giudizio saranno un po' meno attraenti in termini di ricavi </w:t>
      </w:r>
      <w:r w:rsidR="00902EEA" w:rsidRPr="003D6767">
        <w:rPr>
          <w:sz w:val="22"/>
          <w:szCs w:val="22"/>
          <w:lang w:val="it-IT"/>
        </w:rPr>
        <w:t xml:space="preserve">entrando nel prossimo </w:t>
      </w:r>
      <w:r w:rsidR="001E0E12" w:rsidRPr="003D6767">
        <w:rPr>
          <w:sz w:val="22"/>
          <w:szCs w:val="22"/>
          <w:lang w:val="it-IT"/>
        </w:rPr>
        <w:t>anno</w:t>
      </w:r>
      <w:r w:rsidR="009550A3" w:rsidRPr="003D6767">
        <w:rPr>
          <w:sz w:val="22"/>
          <w:szCs w:val="22"/>
          <w:lang w:val="it-IT"/>
        </w:rPr>
        <w:t xml:space="preserve">. </w:t>
      </w:r>
    </w:p>
    <w:p w14:paraId="1F9800D2" w14:textId="77777777" w:rsidR="00B11F29" w:rsidRPr="003D6767" w:rsidRDefault="00B11F29" w:rsidP="009550A3">
      <w:pPr>
        <w:rPr>
          <w:sz w:val="22"/>
          <w:szCs w:val="22"/>
          <w:lang w:val="it-IT"/>
        </w:rPr>
      </w:pPr>
    </w:p>
    <w:p w14:paraId="233ADC64" w14:textId="3B733EBE" w:rsidR="0044323D" w:rsidRPr="003D6767" w:rsidRDefault="0016651C" w:rsidP="009550A3">
      <w:pPr>
        <w:rPr>
          <w:sz w:val="22"/>
          <w:szCs w:val="22"/>
          <w:lang w:val="it-IT"/>
        </w:rPr>
      </w:pPr>
      <w:r w:rsidRPr="003D6767">
        <w:rPr>
          <w:sz w:val="22"/>
          <w:szCs w:val="22"/>
          <w:lang w:val="it-IT"/>
        </w:rPr>
        <w:t xml:space="preserve">Quindi, </w:t>
      </w:r>
      <w:r w:rsidR="005C7F3E" w:rsidRPr="003D6767">
        <w:rPr>
          <w:sz w:val="22"/>
          <w:szCs w:val="22"/>
          <w:lang w:val="it-IT"/>
        </w:rPr>
        <w:t xml:space="preserve">preferiamo </w:t>
      </w:r>
      <w:r w:rsidRPr="003D6767">
        <w:rPr>
          <w:sz w:val="22"/>
          <w:szCs w:val="22"/>
          <w:lang w:val="it-IT"/>
        </w:rPr>
        <w:t>aument</w:t>
      </w:r>
      <w:r w:rsidR="005C7F3E" w:rsidRPr="003D6767">
        <w:rPr>
          <w:sz w:val="22"/>
          <w:szCs w:val="22"/>
          <w:lang w:val="it-IT"/>
        </w:rPr>
        <w:t>are</w:t>
      </w:r>
      <w:r w:rsidRPr="003D6767">
        <w:rPr>
          <w:sz w:val="22"/>
          <w:szCs w:val="22"/>
          <w:lang w:val="it-IT"/>
        </w:rPr>
        <w:t xml:space="preserve"> la qualità</w:t>
      </w:r>
      <w:r w:rsidR="005C7F3E" w:rsidRPr="003D6767">
        <w:rPr>
          <w:sz w:val="22"/>
          <w:szCs w:val="22"/>
          <w:lang w:val="it-IT"/>
        </w:rPr>
        <w:t xml:space="preserve"> del portafoglio,</w:t>
      </w:r>
      <w:r w:rsidRPr="003D6767">
        <w:rPr>
          <w:sz w:val="22"/>
          <w:szCs w:val="22"/>
          <w:lang w:val="it-IT"/>
        </w:rPr>
        <w:t xml:space="preserve"> </w:t>
      </w:r>
      <w:r w:rsidR="00902EEA" w:rsidRPr="003D6767">
        <w:rPr>
          <w:b/>
          <w:bCs/>
          <w:sz w:val="22"/>
          <w:szCs w:val="22"/>
          <w:lang w:val="it-IT"/>
        </w:rPr>
        <w:t>optando per</w:t>
      </w:r>
      <w:r w:rsidRPr="003D6767">
        <w:rPr>
          <w:b/>
          <w:bCs/>
          <w:sz w:val="22"/>
          <w:szCs w:val="22"/>
          <w:lang w:val="it-IT"/>
        </w:rPr>
        <w:t xml:space="preserve"> aziende resilienti con redditi iniziali più elevati</w:t>
      </w:r>
      <w:r w:rsidR="009550A3" w:rsidRPr="003D6767">
        <w:rPr>
          <w:sz w:val="22"/>
          <w:szCs w:val="22"/>
          <w:lang w:val="it-IT"/>
        </w:rPr>
        <w:t xml:space="preserve">. </w:t>
      </w:r>
      <w:r w:rsidR="00785183" w:rsidRPr="003D6767">
        <w:rPr>
          <w:sz w:val="22"/>
          <w:szCs w:val="22"/>
          <w:lang w:val="it-IT"/>
        </w:rPr>
        <w:t>E</w:t>
      </w:r>
      <w:r w:rsidR="003D11A0" w:rsidRPr="003D6767">
        <w:rPr>
          <w:sz w:val="22"/>
          <w:szCs w:val="22"/>
          <w:lang w:val="it-IT"/>
        </w:rPr>
        <w:t xml:space="preserve"> man mano che ci avviciniamo al </w:t>
      </w:r>
      <w:r w:rsidR="00785183" w:rsidRPr="003D6767">
        <w:rPr>
          <w:sz w:val="22"/>
          <w:szCs w:val="22"/>
          <w:lang w:val="it-IT"/>
        </w:rPr>
        <w:t>“</w:t>
      </w:r>
      <w:r w:rsidR="003D11A0" w:rsidRPr="003D6767">
        <w:rPr>
          <w:sz w:val="22"/>
          <w:szCs w:val="22"/>
          <w:lang w:val="it-IT"/>
        </w:rPr>
        <w:t>muro delle scadenze</w:t>
      </w:r>
      <w:r w:rsidR="00785183" w:rsidRPr="003D6767">
        <w:rPr>
          <w:sz w:val="22"/>
          <w:szCs w:val="22"/>
          <w:lang w:val="it-IT"/>
        </w:rPr>
        <w:t>”</w:t>
      </w:r>
      <w:r w:rsidR="003D11A0" w:rsidRPr="003D6767">
        <w:rPr>
          <w:sz w:val="22"/>
          <w:szCs w:val="22"/>
          <w:lang w:val="it-IT"/>
        </w:rPr>
        <w:t xml:space="preserve"> del 2025</w:t>
      </w:r>
      <w:r w:rsidR="005C7F3E" w:rsidRPr="003D6767">
        <w:rPr>
          <w:sz w:val="22"/>
          <w:szCs w:val="22"/>
          <w:lang w:val="it-IT"/>
        </w:rPr>
        <w:t xml:space="preserve"> e</w:t>
      </w:r>
      <w:r w:rsidR="00690D0F" w:rsidRPr="003D6767">
        <w:rPr>
          <w:sz w:val="22"/>
          <w:szCs w:val="22"/>
          <w:lang w:val="it-IT"/>
        </w:rPr>
        <w:t>, in particolare,</w:t>
      </w:r>
      <w:r w:rsidR="005C7F3E" w:rsidRPr="003D6767">
        <w:rPr>
          <w:sz w:val="22"/>
          <w:szCs w:val="22"/>
          <w:lang w:val="it-IT"/>
        </w:rPr>
        <w:t xml:space="preserve"> del </w:t>
      </w:r>
      <w:r w:rsidR="003D11A0" w:rsidRPr="003D6767">
        <w:rPr>
          <w:sz w:val="22"/>
          <w:szCs w:val="22"/>
          <w:lang w:val="it-IT"/>
        </w:rPr>
        <w:t>2026</w:t>
      </w:r>
      <w:r w:rsidR="00B11F29" w:rsidRPr="003D6767">
        <w:rPr>
          <w:sz w:val="22"/>
          <w:szCs w:val="22"/>
          <w:lang w:val="it-IT"/>
        </w:rPr>
        <w:t>,</w:t>
      </w:r>
      <w:r w:rsidR="003D11A0" w:rsidRPr="003D6767">
        <w:rPr>
          <w:sz w:val="22"/>
          <w:szCs w:val="22"/>
          <w:lang w:val="it-IT"/>
        </w:rPr>
        <w:t xml:space="preserve"> in altre parole </w:t>
      </w:r>
      <w:r w:rsidR="00785183" w:rsidRPr="003D6767">
        <w:rPr>
          <w:sz w:val="22"/>
          <w:szCs w:val="22"/>
          <w:lang w:val="it-IT"/>
        </w:rPr>
        <w:t xml:space="preserve">a un contesto </w:t>
      </w:r>
      <w:r w:rsidR="003D11A0" w:rsidRPr="003D6767">
        <w:rPr>
          <w:sz w:val="22"/>
          <w:szCs w:val="22"/>
          <w:lang w:val="it-IT"/>
        </w:rPr>
        <w:t>dov</w:t>
      </w:r>
      <w:r w:rsidR="00B11F29" w:rsidRPr="003D6767">
        <w:rPr>
          <w:sz w:val="22"/>
          <w:szCs w:val="22"/>
          <w:lang w:val="it-IT"/>
        </w:rPr>
        <w:t xml:space="preserve">e </w:t>
      </w:r>
      <w:r w:rsidR="00785183" w:rsidRPr="003D6767">
        <w:rPr>
          <w:sz w:val="22"/>
          <w:szCs w:val="22"/>
          <w:lang w:val="it-IT"/>
        </w:rPr>
        <w:t xml:space="preserve">è presente </w:t>
      </w:r>
      <w:r w:rsidR="003D11A0" w:rsidRPr="003D6767">
        <w:rPr>
          <w:sz w:val="22"/>
          <w:szCs w:val="22"/>
          <w:lang w:val="it-IT"/>
        </w:rPr>
        <w:t xml:space="preserve">un </w:t>
      </w:r>
      <w:r w:rsidR="005C7F3E" w:rsidRPr="003D6767">
        <w:rPr>
          <w:sz w:val="22"/>
          <w:szCs w:val="22"/>
          <w:lang w:val="it-IT"/>
        </w:rPr>
        <w:t xml:space="preserve">gruppo consistente </w:t>
      </w:r>
      <w:r w:rsidR="003D11A0" w:rsidRPr="003D6767">
        <w:rPr>
          <w:sz w:val="22"/>
          <w:szCs w:val="22"/>
          <w:lang w:val="it-IT"/>
        </w:rPr>
        <w:t>di obbligazioni in scadenza</w:t>
      </w:r>
      <w:r w:rsidR="005C7F3E" w:rsidRPr="003D6767">
        <w:rPr>
          <w:sz w:val="22"/>
          <w:szCs w:val="22"/>
          <w:lang w:val="it-IT"/>
        </w:rPr>
        <w:t>,</w:t>
      </w:r>
      <w:r w:rsidR="003D11A0" w:rsidRPr="003D6767">
        <w:rPr>
          <w:sz w:val="22"/>
          <w:szCs w:val="22"/>
          <w:lang w:val="it-IT"/>
        </w:rPr>
        <w:t xml:space="preserve"> le società s</w:t>
      </w:r>
      <w:r w:rsidR="00C16EB9" w:rsidRPr="003D6767">
        <w:rPr>
          <w:sz w:val="22"/>
          <w:szCs w:val="22"/>
          <w:lang w:val="it-IT"/>
        </w:rPr>
        <w:t>aranno</w:t>
      </w:r>
      <w:r w:rsidR="003D11A0" w:rsidRPr="003D6767">
        <w:rPr>
          <w:sz w:val="22"/>
          <w:szCs w:val="22"/>
          <w:lang w:val="it-IT"/>
        </w:rPr>
        <w:t xml:space="preserve"> costrette a pagare </w:t>
      </w:r>
      <w:r w:rsidR="006465FA" w:rsidRPr="003D6767">
        <w:rPr>
          <w:sz w:val="22"/>
          <w:szCs w:val="22"/>
          <w:lang w:val="it-IT"/>
        </w:rPr>
        <w:t>un reddito iniziale</w:t>
      </w:r>
      <w:r w:rsidR="003D11A0" w:rsidRPr="003D6767">
        <w:rPr>
          <w:sz w:val="22"/>
          <w:szCs w:val="22"/>
          <w:lang w:val="it-IT"/>
        </w:rPr>
        <w:t xml:space="preserve"> più </w:t>
      </w:r>
      <w:r w:rsidR="00690D0F" w:rsidRPr="003D6767">
        <w:rPr>
          <w:sz w:val="22"/>
          <w:szCs w:val="22"/>
          <w:lang w:val="it-IT"/>
        </w:rPr>
        <w:t>alt</w:t>
      </w:r>
      <w:r w:rsidR="006465FA" w:rsidRPr="003D6767">
        <w:rPr>
          <w:sz w:val="22"/>
          <w:szCs w:val="22"/>
          <w:lang w:val="it-IT"/>
        </w:rPr>
        <w:t>o;</w:t>
      </w:r>
      <w:r w:rsidR="005C7F3E" w:rsidRPr="003D6767">
        <w:rPr>
          <w:sz w:val="22"/>
          <w:szCs w:val="22"/>
          <w:lang w:val="it-IT"/>
        </w:rPr>
        <w:t xml:space="preserve"> e questo rappresenta</w:t>
      </w:r>
      <w:r w:rsidR="003D11A0" w:rsidRPr="003D6767">
        <w:rPr>
          <w:sz w:val="22"/>
          <w:szCs w:val="22"/>
          <w:lang w:val="it-IT"/>
        </w:rPr>
        <w:t xml:space="preserve"> un'area che</w:t>
      </w:r>
      <w:r w:rsidR="00785183" w:rsidRPr="003D6767">
        <w:rPr>
          <w:sz w:val="22"/>
          <w:szCs w:val="22"/>
          <w:lang w:val="it-IT"/>
        </w:rPr>
        <w:t>,</w:t>
      </w:r>
      <w:r w:rsidR="003D11A0" w:rsidRPr="003D6767">
        <w:rPr>
          <w:sz w:val="22"/>
          <w:szCs w:val="22"/>
          <w:lang w:val="it-IT"/>
        </w:rPr>
        <w:t xml:space="preserve"> secondo noi</w:t>
      </w:r>
      <w:r w:rsidR="00785183" w:rsidRPr="003D6767">
        <w:rPr>
          <w:sz w:val="22"/>
          <w:szCs w:val="22"/>
          <w:lang w:val="it-IT"/>
        </w:rPr>
        <w:t>,</w:t>
      </w:r>
      <w:r w:rsidR="003D11A0" w:rsidRPr="003D6767">
        <w:rPr>
          <w:sz w:val="22"/>
          <w:szCs w:val="22"/>
          <w:lang w:val="it-IT"/>
        </w:rPr>
        <w:t xml:space="preserve"> offrirà ricavi interessanti nel corso del prossimo anno</w:t>
      </w:r>
      <w:r w:rsidR="009550A3" w:rsidRPr="003D6767">
        <w:rPr>
          <w:sz w:val="22"/>
          <w:szCs w:val="22"/>
          <w:lang w:val="it-IT"/>
        </w:rPr>
        <w:t xml:space="preserve">. </w:t>
      </w:r>
      <w:r w:rsidR="000D2518" w:rsidRPr="003D6767">
        <w:rPr>
          <w:sz w:val="22"/>
          <w:szCs w:val="22"/>
          <w:lang w:val="it-IT"/>
        </w:rPr>
        <w:t xml:space="preserve">Quindi </w:t>
      </w:r>
      <w:r w:rsidR="00764771" w:rsidRPr="003D6767">
        <w:rPr>
          <w:sz w:val="22"/>
          <w:szCs w:val="22"/>
          <w:lang w:val="it-IT"/>
        </w:rPr>
        <w:t xml:space="preserve">stiamo parlando di </w:t>
      </w:r>
      <w:r w:rsidR="000D2518" w:rsidRPr="003D6767">
        <w:rPr>
          <w:sz w:val="22"/>
          <w:szCs w:val="22"/>
          <w:lang w:val="it-IT"/>
        </w:rPr>
        <w:t>società che pagano un certo premio per accedere al mercato</w:t>
      </w:r>
      <w:r w:rsidR="009550A3" w:rsidRPr="003D6767">
        <w:rPr>
          <w:sz w:val="22"/>
          <w:szCs w:val="22"/>
          <w:lang w:val="it-IT"/>
        </w:rPr>
        <w:t xml:space="preserve">. </w:t>
      </w:r>
      <w:r w:rsidR="0097130B" w:rsidRPr="003D6767">
        <w:rPr>
          <w:b/>
          <w:bCs/>
          <w:sz w:val="22"/>
          <w:szCs w:val="22"/>
          <w:lang w:val="it-IT"/>
        </w:rPr>
        <w:t>Questo ci porta a una maggiore f</w:t>
      </w:r>
      <w:r w:rsidR="00690D0F" w:rsidRPr="003D6767">
        <w:rPr>
          <w:b/>
          <w:bCs/>
          <w:sz w:val="22"/>
          <w:szCs w:val="22"/>
          <w:lang w:val="it-IT"/>
        </w:rPr>
        <w:t>ocalizza</w:t>
      </w:r>
      <w:r w:rsidR="0097130B" w:rsidRPr="003D6767">
        <w:rPr>
          <w:b/>
          <w:bCs/>
          <w:sz w:val="22"/>
          <w:szCs w:val="22"/>
          <w:lang w:val="it-IT"/>
        </w:rPr>
        <w:t>zione</w:t>
      </w:r>
      <w:r w:rsidR="00690D0F" w:rsidRPr="003D6767">
        <w:rPr>
          <w:b/>
          <w:bCs/>
          <w:sz w:val="22"/>
          <w:szCs w:val="22"/>
          <w:lang w:val="it-IT"/>
        </w:rPr>
        <w:t xml:space="preserve"> </w:t>
      </w:r>
      <w:r w:rsidR="0097130B" w:rsidRPr="003D6767">
        <w:rPr>
          <w:b/>
          <w:bCs/>
          <w:sz w:val="22"/>
          <w:szCs w:val="22"/>
          <w:lang w:val="it-IT"/>
        </w:rPr>
        <w:t>sul</w:t>
      </w:r>
      <w:r w:rsidR="00A56C0A" w:rsidRPr="003D6767">
        <w:rPr>
          <w:b/>
          <w:bCs/>
          <w:sz w:val="22"/>
          <w:szCs w:val="22"/>
          <w:lang w:val="it-IT"/>
        </w:rPr>
        <w:t xml:space="preserve"> </w:t>
      </w:r>
      <w:proofErr w:type="spellStart"/>
      <w:r w:rsidR="00A56C0A" w:rsidRPr="003D6767">
        <w:rPr>
          <w:b/>
          <w:bCs/>
          <w:sz w:val="22"/>
          <w:szCs w:val="22"/>
          <w:lang w:val="it-IT"/>
        </w:rPr>
        <w:t>carry</w:t>
      </w:r>
      <w:proofErr w:type="spellEnd"/>
      <w:r w:rsidR="00A56C0A" w:rsidRPr="003D6767">
        <w:rPr>
          <w:b/>
          <w:bCs/>
          <w:sz w:val="22"/>
          <w:szCs w:val="22"/>
          <w:lang w:val="it-IT"/>
        </w:rPr>
        <w:t xml:space="preserve"> di alta qualità nei portafogli nel corso del 2024, </w:t>
      </w:r>
      <w:r w:rsidR="0097130B" w:rsidRPr="003D6767">
        <w:rPr>
          <w:b/>
          <w:bCs/>
          <w:sz w:val="22"/>
          <w:szCs w:val="22"/>
          <w:lang w:val="it-IT"/>
        </w:rPr>
        <w:t>che</w:t>
      </w:r>
      <w:r w:rsidR="00A56C0A" w:rsidRPr="003D6767">
        <w:rPr>
          <w:b/>
          <w:bCs/>
          <w:sz w:val="22"/>
          <w:szCs w:val="22"/>
          <w:lang w:val="it-IT"/>
        </w:rPr>
        <w:t xml:space="preserve"> </w:t>
      </w:r>
      <w:r w:rsidR="007F2C5B" w:rsidRPr="003D6767">
        <w:rPr>
          <w:b/>
          <w:bCs/>
          <w:sz w:val="22"/>
          <w:szCs w:val="22"/>
          <w:lang w:val="it-IT"/>
        </w:rPr>
        <w:t>rappresenta</w:t>
      </w:r>
      <w:r w:rsidR="00A56C0A" w:rsidRPr="003D6767">
        <w:rPr>
          <w:b/>
          <w:bCs/>
          <w:sz w:val="22"/>
          <w:szCs w:val="22"/>
          <w:lang w:val="it-IT"/>
        </w:rPr>
        <w:t xml:space="preserve"> l'opportunità principale</w:t>
      </w:r>
      <w:r w:rsidR="009550A3" w:rsidRPr="003D6767">
        <w:rPr>
          <w:b/>
          <w:bCs/>
          <w:sz w:val="22"/>
          <w:szCs w:val="22"/>
          <w:lang w:val="it-IT"/>
        </w:rPr>
        <w:t>.</w:t>
      </w:r>
      <w:r w:rsidR="009550A3" w:rsidRPr="003D6767">
        <w:rPr>
          <w:sz w:val="22"/>
          <w:szCs w:val="22"/>
          <w:lang w:val="it-IT"/>
        </w:rPr>
        <w:t xml:space="preserve"> </w:t>
      </w:r>
    </w:p>
    <w:p w14:paraId="1FB0CED3" w14:textId="77777777" w:rsidR="0044323D" w:rsidRPr="003D6767" w:rsidRDefault="0044323D" w:rsidP="009550A3">
      <w:pPr>
        <w:rPr>
          <w:sz w:val="22"/>
          <w:szCs w:val="22"/>
          <w:lang w:val="it-IT"/>
        </w:rPr>
      </w:pPr>
    </w:p>
    <w:p w14:paraId="7CBBE930" w14:textId="746AEDE2" w:rsidR="00B416E4" w:rsidRPr="003D6767" w:rsidRDefault="00F70475" w:rsidP="009550A3">
      <w:pPr>
        <w:rPr>
          <w:sz w:val="22"/>
          <w:szCs w:val="22"/>
          <w:lang w:val="it-IT"/>
        </w:rPr>
      </w:pPr>
      <w:r w:rsidRPr="003D6767">
        <w:rPr>
          <w:sz w:val="22"/>
          <w:szCs w:val="22"/>
          <w:lang w:val="it-IT"/>
        </w:rPr>
        <w:t xml:space="preserve">Naturalmente ci saranno altre aree, a fronte dell’andamento economico, </w:t>
      </w:r>
      <w:r w:rsidR="009F28E0" w:rsidRPr="003D6767">
        <w:rPr>
          <w:sz w:val="22"/>
          <w:szCs w:val="22"/>
          <w:lang w:val="it-IT"/>
        </w:rPr>
        <w:t>dove</w:t>
      </w:r>
      <w:r w:rsidRPr="003D6767">
        <w:rPr>
          <w:sz w:val="22"/>
          <w:szCs w:val="22"/>
          <w:lang w:val="it-IT"/>
        </w:rPr>
        <w:t xml:space="preserve"> settori in difficoltà potranno, a nostro giudizio, riprendersi nel secondo semestre dell'anno</w:t>
      </w:r>
      <w:r w:rsidR="009550A3" w:rsidRPr="003D6767">
        <w:rPr>
          <w:sz w:val="22"/>
          <w:szCs w:val="22"/>
          <w:lang w:val="it-IT"/>
        </w:rPr>
        <w:t xml:space="preserve">. </w:t>
      </w:r>
      <w:r w:rsidR="007F350B" w:rsidRPr="003D6767">
        <w:rPr>
          <w:sz w:val="22"/>
          <w:szCs w:val="22"/>
          <w:lang w:val="it-IT"/>
        </w:rPr>
        <w:t>Abbiamo assistito a una forte correzione delle scorte in alcuni settori, come quell</w:t>
      </w:r>
      <w:r w:rsidR="009F28E0" w:rsidRPr="003D6767">
        <w:rPr>
          <w:sz w:val="22"/>
          <w:szCs w:val="22"/>
          <w:lang w:val="it-IT"/>
        </w:rPr>
        <w:t>i</w:t>
      </w:r>
      <w:r w:rsidR="007F350B" w:rsidRPr="003D6767">
        <w:rPr>
          <w:sz w:val="22"/>
          <w:szCs w:val="22"/>
          <w:lang w:val="it-IT"/>
        </w:rPr>
        <w:t xml:space="preserve"> chimico e degli imballaggi. </w:t>
      </w:r>
      <w:r w:rsidR="008D7E3F" w:rsidRPr="003D6767">
        <w:rPr>
          <w:sz w:val="22"/>
          <w:szCs w:val="22"/>
          <w:lang w:val="it-IT"/>
        </w:rPr>
        <w:t>Inoltre</w:t>
      </w:r>
      <w:r w:rsidR="007F2C5B" w:rsidRPr="003D6767">
        <w:rPr>
          <w:sz w:val="22"/>
          <w:szCs w:val="22"/>
          <w:lang w:val="it-IT"/>
        </w:rPr>
        <w:t>,</w:t>
      </w:r>
      <w:r w:rsidR="007F350B" w:rsidRPr="003D6767">
        <w:rPr>
          <w:sz w:val="22"/>
          <w:szCs w:val="22"/>
          <w:lang w:val="it-IT"/>
        </w:rPr>
        <w:t xml:space="preserve"> la ripresa nel secondo semestre del 2024 potrebbe </w:t>
      </w:r>
      <w:r w:rsidR="008D7E3F" w:rsidRPr="003D6767">
        <w:rPr>
          <w:sz w:val="22"/>
          <w:szCs w:val="22"/>
          <w:lang w:val="it-IT"/>
        </w:rPr>
        <w:t>costituire</w:t>
      </w:r>
      <w:r w:rsidR="007F350B" w:rsidRPr="003D6767">
        <w:rPr>
          <w:sz w:val="22"/>
          <w:szCs w:val="22"/>
          <w:lang w:val="it-IT"/>
        </w:rPr>
        <w:t xml:space="preserve"> un'occasione per conseguire un rendimento in eccesso</w:t>
      </w:r>
      <w:r w:rsidR="009550A3" w:rsidRPr="003D6767">
        <w:rPr>
          <w:sz w:val="22"/>
          <w:szCs w:val="22"/>
          <w:lang w:val="it-IT"/>
        </w:rPr>
        <w:t xml:space="preserve">. </w:t>
      </w:r>
      <w:r w:rsidR="00940F67" w:rsidRPr="003D6767">
        <w:rPr>
          <w:sz w:val="22"/>
          <w:szCs w:val="22"/>
          <w:lang w:val="it-IT"/>
        </w:rPr>
        <w:t>Ma</w:t>
      </w:r>
      <w:r w:rsidR="008D7E3F" w:rsidRPr="003D6767">
        <w:rPr>
          <w:sz w:val="22"/>
          <w:szCs w:val="22"/>
          <w:lang w:val="it-IT"/>
        </w:rPr>
        <w:t>,</w:t>
      </w:r>
      <w:r w:rsidR="00940F67" w:rsidRPr="003D6767">
        <w:rPr>
          <w:sz w:val="22"/>
          <w:szCs w:val="22"/>
          <w:lang w:val="it-IT"/>
        </w:rPr>
        <w:t xml:space="preserve"> </w:t>
      </w:r>
      <w:r w:rsidR="008D7E3F" w:rsidRPr="003D6767">
        <w:rPr>
          <w:sz w:val="22"/>
          <w:szCs w:val="22"/>
          <w:lang w:val="it-IT"/>
        </w:rPr>
        <w:t xml:space="preserve">nella </w:t>
      </w:r>
      <w:r w:rsidR="00940F67" w:rsidRPr="003D6767">
        <w:rPr>
          <w:sz w:val="22"/>
          <w:szCs w:val="22"/>
          <w:lang w:val="it-IT"/>
        </w:rPr>
        <w:t xml:space="preserve">pratica, </w:t>
      </w:r>
      <w:r w:rsidR="007F2C5B" w:rsidRPr="003D6767">
        <w:rPr>
          <w:sz w:val="22"/>
          <w:szCs w:val="22"/>
          <w:lang w:val="it-IT"/>
        </w:rPr>
        <w:t xml:space="preserve">preferiamo </w:t>
      </w:r>
      <w:r w:rsidR="000E46CD" w:rsidRPr="003D6767">
        <w:rPr>
          <w:sz w:val="22"/>
          <w:szCs w:val="22"/>
          <w:lang w:val="it-IT"/>
        </w:rPr>
        <w:t xml:space="preserve">che </w:t>
      </w:r>
      <w:r w:rsidR="00940F67" w:rsidRPr="003D6767">
        <w:rPr>
          <w:b/>
          <w:bCs/>
          <w:sz w:val="22"/>
          <w:szCs w:val="22"/>
          <w:lang w:val="it-IT"/>
        </w:rPr>
        <w:t>la maggior parte del capitale sia investito in titoli di credito di alta qualità, difensivi e performanti</w:t>
      </w:r>
      <w:r w:rsidR="00940F67" w:rsidRPr="003D6767">
        <w:rPr>
          <w:sz w:val="22"/>
          <w:szCs w:val="22"/>
          <w:lang w:val="it-IT"/>
        </w:rPr>
        <w:t>, che</w:t>
      </w:r>
      <w:r w:rsidR="000E46CD" w:rsidRPr="003D6767">
        <w:rPr>
          <w:sz w:val="22"/>
          <w:szCs w:val="22"/>
          <w:lang w:val="it-IT"/>
        </w:rPr>
        <w:t>,</w:t>
      </w:r>
      <w:r w:rsidR="00940F67" w:rsidRPr="003D6767">
        <w:rPr>
          <w:sz w:val="22"/>
          <w:szCs w:val="22"/>
          <w:lang w:val="it-IT"/>
        </w:rPr>
        <w:t xml:space="preserve"> l'anno prossimo</w:t>
      </w:r>
      <w:r w:rsidR="000E46CD" w:rsidRPr="003D6767">
        <w:rPr>
          <w:sz w:val="22"/>
          <w:szCs w:val="22"/>
          <w:lang w:val="it-IT"/>
        </w:rPr>
        <w:t>,</w:t>
      </w:r>
      <w:r w:rsidR="00940F67" w:rsidRPr="003D6767">
        <w:rPr>
          <w:sz w:val="22"/>
          <w:szCs w:val="22"/>
          <w:lang w:val="it-IT"/>
        </w:rPr>
        <w:t xml:space="preserve"> </w:t>
      </w:r>
      <w:r w:rsidR="000E46CD" w:rsidRPr="003D6767">
        <w:rPr>
          <w:sz w:val="22"/>
          <w:szCs w:val="22"/>
          <w:lang w:val="it-IT"/>
        </w:rPr>
        <w:t xml:space="preserve">garantiranno un </w:t>
      </w:r>
      <w:r w:rsidR="0044323D" w:rsidRPr="003D6767">
        <w:rPr>
          <w:sz w:val="22"/>
          <w:szCs w:val="22"/>
          <w:lang w:val="it-IT"/>
        </w:rPr>
        <w:t xml:space="preserve">rendimento </w:t>
      </w:r>
      <w:r w:rsidR="00940F67" w:rsidRPr="003D6767">
        <w:rPr>
          <w:sz w:val="22"/>
          <w:szCs w:val="22"/>
          <w:lang w:val="it-IT"/>
        </w:rPr>
        <w:t>iniziale elevato</w:t>
      </w:r>
      <w:r w:rsidR="009550A3" w:rsidRPr="003D6767">
        <w:rPr>
          <w:sz w:val="22"/>
          <w:szCs w:val="22"/>
          <w:lang w:val="it-IT"/>
        </w:rPr>
        <w:t xml:space="preserve">. </w:t>
      </w:r>
    </w:p>
    <w:sectPr w:rsidR="00B416E4" w:rsidRPr="003D67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D0F"/>
    <w:rsid w:val="000B21A3"/>
    <w:rsid w:val="000D2518"/>
    <w:rsid w:val="000E46CD"/>
    <w:rsid w:val="001342B9"/>
    <w:rsid w:val="0016651C"/>
    <w:rsid w:val="001D6429"/>
    <w:rsid w:val="001E0E12"/>
    <w:rsid w:val="001E3390"/>
    <w:rsid w:val="00200E32"/>
    <w:rsid w:val="0020294E"/>
    <w:rsid w:val="00276C66"/>
    <w:rsid w:val="002E2D0F"/>
    <w:rsid w:val="00335927"/>
    <w:rsid w:val="00360FCD"/>
    <w:rsid w:val="003B7550"/>
    <w:rsid w:val="003D11A0"/>
    <w:rsid w:val="003D6767"/>
    <w:rsid w:val="003D6C49"/>
    <w:rsid w:val="00403CEC"/>
    <w:rsid w:val="004078FA"/>
    <w:rsid w:val="0044323D"/>
    <w:rsid w:val="004B6D80"/>
    <w:rsid w:val="005203D5"/>
    <w:rsid w:val="00544056"/>
    <w:rsid w:val="005C7F3E"/>
    <w:rsid w:val="006209BF"/>
    <w:rsid w:val="00630D10"/>
    <w:rsid w:val="006465FA"/>
    <w:rsid w:val="0065432A"/>
    <w:rsid w:val="00690D0F"/>
    <w:rsid w:val="00764771"/>
    <w:rsid w:val="00780EFF"/>
    <w:rsid w:val="00785183"/>
    <w:rsid w:val="007A6222"/>
    <w:rsid w:val="007F2C5B"/>
    <w:rsid w:val="007F350B"/>
    <w:rsid w:val="0088216C"/>
    <w:rsid w:val="008D7E3F"/>
    <w:rsid w:val="008E6059"/>
    <w:rsid w:val="008F3820"/>
    <w:rsid w:val="00902EEA"/>
    <w:rsid w:val="00926695"/>
    <w:rsid w:val="00940F67"/>
    <w:rsid w:val="009431A9"/>
    <w:rsid w:val="009550A3"/>
    <w:rsid w:val="0097130B"/>
    <w:rsid w:val="009C7A39"/>
    <w:rsid w:val="009F28E0"/>
    <w:rsid w:val="00A21376"/>
    <w:rsid w:val="00A56C0A"/>
    <w:rsid w:val="00AA3721"/>
    <w:rsid w:val="00AE5453"/>
    <w:rsid w:val="00B11F29"/>
    <w:rsid w:val="00B416E4"/>
    <w:rsid w:val="00C11221"/>
    <w:rsid w:val="00C16EB9"/>
    <w:rsid w:val="00C375CC"/>
    <w:rsid w:val="00CB346E"/>
    <w:rsid w:val="00D75876"/>
    <w:rsid w:val="00E3618F"/>
    <w:rsid w:val="00F40325"/>
    <w:rsid w:val="00F70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3B14F"/>
  <w15:chartTrackingRefBased/>
  <w15:docId w15:val="{A766C95B-45D0-584C-BF75-D49C02DAC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evisione">
    <w:name w:val="Revision"/>
    <w:hidden/>
    <w:uiPriority w:val="99"/>
    <w:semiHidden/>
    <w:rsid w:val="001E33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3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Hatt</dc:creator>
  <cp:keywords/>
  <dc:description/>
  <cp:lastModifiedBy>Diana Ferla</cp:lastModifiedBy>
  <cp:revision>13</cp:revision>
  <dcterms:created xsi:type="dcterms:W3CDTF">2023-12-19T17:07:00Z</dcterms:created>
  <dcterms:modified xsi:type="dcterms:W3CDTF">2024-01-02T11:12:00Z</dcterms:modified>
</cp:coreProperties>
</file>