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E50" w14:textId="0EE45405" w:rsidR="00162B76" w:rsidRPr="00AC795E" w:rsidRDefault="00162B76" w:rsidP="00162B76">
      <w:pPr>
        <w:rPr>
          <w:b/>
          <w:bCs/>
          <w:lang w:eastAsia="it-IT"/>
        </w:rPr>
      </w:pPr>
      <w:r w:rsidRPr="00AC795E">
        <w:rPr>
          <w:b/>
          <w:bCs/>
          <w:lang w:eastAsia="it-IT"/>
        </w:rPr>
        <w:t>T. Rowe Price</w:t>
      </w:r>
      <w:r w:rsidR="00AC795E" w:rsidRPr="00AC795E">
        <w:rPr>
          <w:b/>
          <w:bCs/>
          <w:lang w:eastAsia="it-IT"/>
        </w:rPr>
        <w:t xml:space="preserve"> – Obbligazionario: high yield e prestiti banca</w:t>
      </w:r>
      <w:r w:rsidR="00AC795E">
        <w:rPr>
          <w:b/>
          <w:bCs/>
          <w:lang w:eastAsia="it-IT"/>
        </w:rPr>
        <w:t>ri tra gli asset da favorire</w:t>
      </w:r>
    </w:p>
    <w:p w14:paraId="795C3CF3" w14:textId="22C12945" w:rsidR="00162B76" w:rsidRPr="00162B76" w:rsidRDefault="00162B76" w:rsidP="00162B76">
      <w:pPr>
        <w:rPr>
          <w:b/>
          <w:bCs/>
          <w:lang w:val="en-US" w:eastAsia="it-IT"/>
        </w:rPr>
      </w:pPr>
      <w:r w:rsidRPr="00162B76">
        <w:rPr>
          <w:lang w:val="en-US" w:eastAsia="it-IT"/>
        </w:rPr>
        <w:t xml:space="preserve">A </w:t>
      </w:r>
      <w:proofErr w:type="spellStart"/>
      <w:r w:rsidRPr="00162B76">
        <w:rPr>
          <w:lang w:val="en-US" w:eastAsia="it-IT"/>
        </w:rPr>
        <w:t>cura</w:t>
      </w:r>
      <w:proofErr w:type="spellEnd"/>
      <w:r w:rsidRPr="00162B76">
        <w:rPr>
          <w:lang w:val="en-US" w:eastAsia="it-IT"/>
        </w:rPr>
        <w:t xml:space="preserve"> di </w:t>
      </w:r>
      <w:r w:rsidRPr="00162B76">
        <w:rPr>
          <w:b/>
          <w:bCs/>
          <w:lang w:val="en-US" w:eastAsia="it-IT"/>
        </w:rPr>
        <w:t>Arif Husain, Head of</w:t>
      </w:r>
      <w:r>
        <w:rPr>
          <w:b/>
          <w:bCs/>
          <w:lang w:val="en-US" w:eastAsia="it-IT"/>
        </w:rPr>
        <w:t xml:space="preserve"> International Fixed Income, T. Rowe Price</w:t>
      </w:r>
    </w:p>
    <w:p w14:paraId="020089C4" w14:textId="77777777" w:rsidR="00B51975" w:rsidRDefault="00B51975" w:rsidP="00162B76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550E98B6" w14:textId="5E050793" w:rsidR="00162B76" w:rsidRPr="00162B76" w:rsidRDefault="00162B76" w:rsidP="00162B76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Anche dopo il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“Santa” 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>rally di fine anno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 rendimenti complessivi di molti settori del credito sono vicini ai massimi pluridecennali, il che rende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interessante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avere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un sovrappeso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sul credito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per massimizzare l'opportunità di rendimento.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Tuttavia,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gli spread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creditizi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sono relativamente stretti e il rischio di una recessione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dell’economia</w:t>
      </w:r>
      <w:r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o dei mercati finanziari incombe, per cui i gestori potrebbero scegliere di sottopesare i settori del credito.</w:t>
      </w:r>
    </w:p>
    <w:p w14:paraId="6090D9C7" w14:textId="549FE559" w:rsidR="00162B76" w:rsidRPr="00162B76" w:rsidRDefault="00162B76" w:rsidP="00162B76">
      <w:pPr>
        <w:spacing w:after="120" w:line="264" w:lineRule="auto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La tentazione dei default vicini allo</w:t>
      </w:r>
      <w:r w:rsidRPr="00162B76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 zero</w:t>
      </w:r>
    </w:p>
    <w:p w14:paraId="200704B8" w14:textId="48B5D8E0" w:rsidR="00162B76" w:rsidRPr="00162B76" w:rsidRDefault="00230F80" w:rsidP="00162B76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Guardando al rischio creditizio, 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a</w:t>
      </w:r>
      <w:r w:rsidR="00162B76"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lcuni investitori obbligazionari potrebbero e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ssersi lasciati cullare d</w:t>
      </w:r>
      <w:r w:rsidR="00162B76"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ai tassi di default prossimi allo zero</w:t>
      </w:r>
      <w:r w:rsidR="00162B76" w:rsidRPr="00AC795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162B76"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che hanno dominato i mercati a partire dalla crisi finanziaria globale del 2008-2009</w:t>
      </w:r>
      <w:r w:rsidR="00162B76"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Anche dopo il blocco dell'economia mondiale all'inizio della pandemia del 2020, i tassi di default non hanno subito un'impennata, poiché i vari programmi governativi di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supporto</w:t>
      </w:r>
      <w:r w:rsidR="00162B76"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fiscale hanno colmato il divario di salute finanziaria della maggior parte delle società.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Tuttavia, c</w:t>
      </w:r>
      <w:r w:rsidR="00162B76"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>ontinu</w:t>
      </w:r>
      <w:r w:rsidR="00AC795E">
        <w:rPr>
          <w:rFonts w:ascii="Calibri" w:eastAsia="Times New Roman" w:hAnsi="Calibri" w:cs="Calibri"/>
          <w:kern w:val="0"/>
          <w:lang w:eastAsia="it-IT"/>
          <w14:ligatures w14:val="none"/>
        </w:rPr>
        <w:t>iamo</w:t>
      </w:r>
      <w:r w:rsidR="00162B76"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 ritenere più </w:t>
      </w:r>
      <w:r w:rsidR="00162B76"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probabile una recessione globale nel 2024, che farebbe aumentare sensibilmente il numero di insolvenze</w:t>
      </w:r>
      <w:r w:rsidR="00162B76" w:rsidRPr="00162B76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40F13356" w14:textId="7A9D5E52" w:rsidR="00230F80" w:rsidRPr="00162B76" w:rsidRDefault="00230F80" w:rsidP="00162B76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Molti emittenti di debito societario sono stati in grado di approfittare dei tassi d'interesse più bassi del 2020 per rifinanziare il loro debito a tassi più elevati. Ma quasi quattro anni dopo, alcune società potrebbero trovarsi di fronte a un "muro" di obbligazioni in scadenza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,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che le costringerà a ricorrere ai mercati per ottenere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nuovi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finanziamenti. In caso di recessione dei mercati finanziari - che ritengo ancora più probabile di una recessione economica - gli spread creditizi aumenterebbero, facendo lievitare il costo delle nuove emissioni e aumentando potenzialmente l'onere del debito per le aziende.</w:t>
      </w:r>
    </w:p>
    <w:p w14:paraId="24C1E909" w14:textId="7F2A4DBE" w:rsidR="00230F80" w:rsidRPr="00230F80" w:rsidRDefault="00230F80" w:rsidP="00230F80">
      <w:pPr>
        <w:spacing w:after="120" w:line="264" w:lineRule="auto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O</w:t>
      </w:r>
      <w:r w:rsidRPr="00230F80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bbligazioni </w:t>
      </w: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high yield </w:t>
      </w:r>
      <w:r w:rsidRPr="00230F80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e prestiti bancari</w:t>
      </w: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 tra gli asset da favorire</w:t>
      </w:r>
    </w:p>
    <w:p w14:paraId="2A92A94C" w14:textId="2F3B7376" w:rsidR="00230F80" w:rsidRPr="00230F80" w:rsidRDefault="00230F80" w:rsidP="00230F80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In un'ottica più ampia dei settori del credito societario, 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le obbligazioni high yield e i prestiti bancari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(che di solito hanno un rating creditizio non investment-grade) 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potrebbero essere aree attraverso cui assumersi una dose di rischio nel portafoglio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La qualità del credito degli emittenti high yield è costantemente migliorata da prima della crisi finanziaria globale. A novembre 2023, il 53% del mercato globale delle obbligazioni high yield aveva un rating BB, rispetto al 38% dell'inizio del 2004. Sebbene gli spread </w:t>
      </w:r>
      <w:r w:rsidR="00AC795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creditizi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delle obbligazioni high yield non siano particolarmente ampi su base storica, la loro combinazione di una migliore qualità del credito e di rendimenti interessanti può rappresentare una buona fonte di esposizione creditizia, anche se un'analisi completa del credito è ancora essenziale a causa del rallentamento della crescita globale.</w:t>
      </w:r>
    </w:p>
    <w:p w14:paraId="1A7E4616" w14:textId="4A067EF3" w:rsidR="00230F80" w:rsidRPr="00162B76" w:rsidRDefault="00230F80" w:rsidP="00230F80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bbiamo anche trovato alcune 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opportunità interessanti nei titoli societari investment-grade a breve scadenza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I rendimenti di questo segmento si stanno avvicinando a quelli delle obbligazioni societarie a lungo termine, offrendo un </w:t>
      </w:r>
      <w:proofErr w:type="spellStart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carry</w:t>
      </w:r>
      <w:proofErr w:type="spellEnd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interessante abbinato a un minor rischio di credito e di tasso d'interesse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grazie alla loro scadenza più breve. Il segmento a lunga scadenza del mercato societario investment-grade, soprattutto negli Stati Uniti, appare decisamente poco attraente per coloro che non sono costretti a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d investire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in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questo segmento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3A8141E3" w14:textId="5AF618E7" w:rsidR="00230F80" w:rsidRPr="00230F80" w:rsidRDefault="00230F80" w:rsidP="00230F80">
      <w:pPr>
        <w:spacing w:after="120" w:line="264" w:lineRule="auto"/>
        <w:outlineLvl w:val="2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L’importanza di un’analisi accurata dei fondamentali</w:t>
      </w:r>
    </w:p>
    <w:p w14:paraId="056ED4BC" w14:textId="7179858B" w:rsidR="00162B76" w:rsidRPr="00B51975" w:rsidRDefault="00230F80" w:rsidP="00B51975">
      <w:pPr>
        <w:spacing w:after="120" w:line="264" w:lineRule="auto"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Quando si tratta di posizionarsi all'interno di questi settori del credito - che si tratti di credito societario o sovrano, investment-grade o high yield - ci affidiamo </w:t>
      </w:r>
      <w:proofErr w:type="gramStart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al nostro team globale</w:t>
      </w:r>
      <w:proofErr w:type="gramEnd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di analisti del credito e di analisti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ESG.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Il loro lavoro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focalizzato sui fondamentali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, guida l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 scelta dei nostri posizionamenti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sul credito. </w:t>
      </w:r>
    </w:p>
    <w:p w14:paraId="6A9354E3" w14:textId="3B7B4264" w:rsidR="00230F80" w:rsidRPr="00230F80" w:rsidRDefault="00230F80" w:rsidP="00230F80">
      <w:pPr>
        <w:spacing w:after="120" w:line="264" w:lineRule="auto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 w:rsidRPr="00230F80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Un nuovo segmento</w:t>
      </w: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 nell’area del credito: i Blue Bond</w:t>
      </w:r>
    </w:p>
    <w:p w14:paraId="645FAA71" w14:textId="128A735D" w:rsidR="00230F80" w:rsidRPr="00230F80" w:rsidRDefault="00230F80" w:rsidP="00230F80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blue bond forniscono finanziamenti per progetti di salute degli oceani e di gestione delle risorse idriche, che sono estremamente necessari per affrontare il degrado degli ecosistemi degli oceani e delle acque interne.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Stati sovrani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banche di sviluppo,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emittenti quasi-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sovrani e società possono emettere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blue bond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per raccogliere capitali destinati a colmare il divario di finanziamento dei progetti che cercano di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generare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benefici ambientali legati all'acqua.</w:t>
      </w:r>
    </w:p>
    <w:p w14:paraId="5B848CB9" w14:textId="7DA919FD" w:rsidR="00230F80" w:rsidRPr="00162B76" w:rsidRDefault="00230F80" w:rsidP="00230F80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AC795E">
        <w:rPr>
          <w:rFonts w:ascii="Calibri" w:eastAsia="Times New Roman" w:hAnsi="Calibri" w:cs="Calibri"/>
          <w:kern w:val="0"/>
          <w:lang w:eastAsia="it-IT"/>
          <w14:ligatures w14:val="none"/>
        </w:rPr>
        <w:t>Sebbene i blue bond rappresentino attualmente solo una piccola fetta del mercato globale del reddito fisso, le dimensioni della "blue economy"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(settori legati agli oceani) e i problemi che deve affrontare indicano che 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il mercato dei blue bond potrebbe crescere in modo sostanziale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Secondo le stime della Finance </w:t>
      </w:r>
      <w:proofErr w:type="spellStart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Initiative</w:t>
      </w:r>
      <w:proofErr w:type="spellEnd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del Programma delle Nazioni Unite per l'Ambiente, 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 settori legati agli oceani contribuiscono all'economia globale per 2</w:t>
      </w:r>
      <w:r w:rsidR="00AC795E"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.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5</w:t>
      </w:r>
      <w:r w:rsidR="00AC795E"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00 miliardi</w:t>
      </w:r>
      <w:r w:rsidRPr="00AC795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di dollari, sostenendo oltre 30 milioni di posti di lavoro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. L'aumento della domanda</w:t>
      </w:r>
      <w:r w:rsidR="00AC795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e dei problemi legati all’offerta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AC795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di acqua 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in tutto il mondo ha portato a </w:t>
      </w:r>
      <w:r w:rsidR="00AC795E">
        <w:rPr>
          <w:rFonts w:ascii="Calibri" w:eastAsia="Times New Roman" w:hAnsi="Calibri" w:cs="Calibri"/>
          <w:kern w:val="0"/>
          <w:lang w:eastAsia="it-IT"/>
          <w14:ligatures w14:val="none"/>
        </w:rPr>
        <w:t>difficoltà nell’accesso</w:t>
      </w:r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all'acqua per circa </w:t>
      </w:r>
      <w:proofErr w:type="gramStart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>2</w:t>
      </w:r>
      <w:proofErr w:type="gramEnd"/>
      <w:r w:rsidRPr="00230F8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miliardi di persone. Di fronte a questi dati, è difficile opporsi a una partecipazione selettiva a questo nuovo segmento essenziale del mercato del credito.</w:t>
      </w:r>
    </w:p>
    <w:p w14:paraId="7ACB71DF" w14:textId="77777777" w:rsidR="00461F81" w:rsidRPr="00230F80" w:rsidRDefault="00461F81" w:rsidP="00162B76">
      <w:pPr>
        <w:spacing w:after="120" w:line="264" w:lineRule="auto"/>
        <w:rPr>
          <w:rFonts w:ascii="Calibri" w:hAnsi="Calibri" w:cs="Calibri"/>
        </w:rPr>
      </w:pPr>
    </w:p>
    <w:sectPr w:rsidR="00461F81" w:rsidRPr="00230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7"/>
    <w:rsid w:val="00162B76"/>
    <w:rsid w:val="00230F80"/>
    <w:rsid w:val="00461F81"/>
    <w:rsid w:val="00AC795E"/>
    <w:rsid w:val="00B51975"/>
    <w:rsid w:val="00D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733"/>
  <w15:chartTrackingRefBased/>
  <w15:docId w15:val="{89D06FBD-3C44-42F4-99DF-981DA23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16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2B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2B76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customStyle="1" w:styleId="aem-gridcolumn">
    <w:name w:val="aem-gridcolumn"/>
    <w:basedOn w:val="Normale"/>
    <w:rsid w:val="001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gims-article-infoauthor">
    <w:name w:val="gims-article-info__author"/>
    <w:basedOn w:val="Normale"/>
    <w:rsid w:val="001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162B76"/>
    <w:rPr>
      <w:color w:val="0000FF"/>
      <w:u w:val="single"/>
    </w:rPr>
  </w:style>
  <w:style w:type="character" w:customStyle="1" w:styleId="gims-article-infoauthortitle">
    <w:name w:val="gims-article-info__author__title"/>
    <w:basedOn w:val="Carpredefinitoparagrafo"/>
    <w:rsid w:val="00162B76"/>
  </w:style>
  <w:style w:type="paragraph" w:styleId="NormaleWeb">
    <w:name w:val="Normal (Web)"/>
    <w:basedOn w:val="Normale"/>
    <w:uiPriority w:val="99"/>
    <w:semiHidden/>
    <w:unhideWhenUsed/>
    <w:rsid w:val="001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88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9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535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15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649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20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3</cp:revision>
  <dcterms:created xsi:type="dcterms:W3CDTF">2024-01-26T13:41:00Z</dcterms:created>
  <dcterms:modified xsi:type="dcterms:W3CDTF">2024-01-26T14:23:00Z</dcterms:modified>
</cp:coreProperties>
</file>