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E6E6" w14:textId="09222143" w:rsidR="00BB6E39" w:rsidRPr="00054ECD" w:rsidRDefault="009F53C4" w:rsidP="00054ECD">
      <w:pPr>
        <w:spacing w:after="0" w:line="240" w:lineRule="auto"/>
        <w:contextualSpacing/>
        <w:rPr>
          <w:rFonts w:cstheme="minorHAnsi"/>
          <w:b/>
          <w:bCs/>
        </w:rPr>
      </w:pPr>
      <w:r w:rsidRPr="00054ECD">
        <w:rPr>
          <w:rFonts w:cstheme="minorHAnsi"/>
          <w:b/>
          <w:bCs/>
        </w:rPr>
        <w:t xml:space="preserve">TCW: </w:t>
      </w:r>
      <w:r w:rsidR="005743A7">
        <w:rPr>
          <w:rFonts w:cstheme="minorHAnsi"/>
          <w:b/>
          <w:bCs/>
        </w:rPr>
        <w:t xml:space="preserve">Bond </w:t>
      </w:r>
      <w:r w:rsidR="00BB2F5B" w:rsidRPr="00054ECD">
        <w:rPr>
          <w:rFonts w:cstheme="minorHAnsi"/>
          <w:b/>
          <w:bCs/>
        </w:rPr>
        <w:t xml:space="preserve">emergenti, </w:t>
      </w:r>
      <w:r w:rsidR="005743A7">
        <w:rPr>
          <w:rFonts w:cstheme="minorHAnsi"/>
          <w:b/>
          <w:bCs/>
        </w:rPr>
        <w:t>venti favorevoli nel 2024. I</w:t>
      </w:r>
      <w:r w:rsidR="00BB2F5B" w:rsidRPr="00054ECD">
        <w:rPr>
          <w:rFonts w:cstheme="minorHAnsi"/>
          <w:b/>
          <w:bCs/>
        </w:rPr>
        <w:t xml:space="preserve"> paesi verso </w:t>
      </w:r>
      <w:r w:rsidR="005743A7">
        <w:rPr>
          <w:rFonts w:cstheme="minorHAnsi"/>
          <w:b/>
          <w:bCs/>
        </w:rPr>
        <w:t>l</w:t>
      </w:r>
      <w:r w:rsidR="00BB2F5B" w:rsidRPr="00054ECD">
        <w:rPr>
          <w:rFonts w:cstheme="minorHAnsi"/>
          <w:b/>
          <w:bCs/>
        </w:rPr>
        <w:t>a promozione del rating</w:t>
      </w:r>
    </w:p>
    <w:p w14:paraId="46A1DD31" w14:textId="77777777" w:rsidR="00054ECD" w:rsidRDefault="00054ECD" w:rsidP="00054ECD">
      <w:pPr>
        <w:spacing w:after="0" w:line="240" w:lineRule="auto"/>
        <w:contextualSpacing/>
        <w:rPr>
          <w:rFonts w:cstheme="minorHAnsi"/>
          <w:lang w:val="en-GB"/>
        </w:rPr>
      </w:pPr>
    </w:p>
    <w:p w14:paraId="2C55AB7B" w14:textId="3FC012E6" w:rsidR="00BB6E39" w:rsidRPr="00054ECD" w:rsidRDefault="009F53C4" w:rsidP="00054ECD">
      <w:pPr>
        <w:spacing w:after="0" w:line="240" w:lineRule="auto"/>
        <w:contextualSpacing/>
        <w:rPr>
          <w:rFonts w:cstheme="minorHAnsi"/>
          <w:b/>
          <w:bCs/>
          <w:lang w:val="en-US"/>
        </w:rPr>
      </w:pPr>
      <w:r w:rsidRPr="00054ECD">
        <w:rPr>
          <w:rFonts w:cstheme="minorHAnsi"/>
          <w:lang w:val="en-GB"/>
        </w:rPr>
        <w:t xml:space="preserve">A </w:t>
      </w:r>
      <w:proofErr w:type="spellStart"/>
      <w:r w:rsidRPr="00054ECD">
        <w:rPr>
          <w:rFonts w:cstheme="minorHAnsi"/>
          <w:lang w:val="en-GB"/>
        </w:rPr>
        <w:t>cura</w:t>
      </w:r>
      <w:proofErr w:type="spellEnd"/>
      <w:r w:rsidRPr="00054ECD">
        <w:rPr>
          <w:rFonts w:cstheme="minorHAnsi"/>
          <w:lang w:val="en-GB"/>
        </w:rPr>
        <w:t xml:space="preserve"> di</w:t>
      </w:r>
      <w:r w:rsidRPr="002E258E">
        <w:rPr>
          <w:rFonts w:cstheme="minorHAnsi"/>
          <w:b/>
          <w:bCs/>
          <w:lang w:val="en-GB"/>
        </w:rPr>
        <w:t xml:space="preserve"> </w:t>
      </w:r>
      <w:r w:rsidR="00BB6E39" w:rsidRPr="002E258E">
        <w:rPr>
          <w:rFonts w:cstheme="minorHAnsi"/>
          <w:b/>
          <w:bCs/>
          <w:lang w:val="en-GB"/>
        </w:rPr>
        <w:t>Anisha A. Goodly</w:t>
      </w:r>
      <w:r w:rsidR="009A0D9D">
        <w:rPr>
          <w:rFonts w:cstheme="minorHAnsi"/>
          <w:b/>
          <w:bCs/>
          <w:lang w:val="en-GB"/>
        </w:rPr>
        <w:t>,</w:t>
      </w:r>
      <w:r w:rsidR="00BB6E39" w:rsidRPr="002E258E">
        <w:rPr>
          <w:rFonts w:cstheme="minorHAnsi"/>
          <w:lang w:val="en-GB"/>
        </w:rPr>
        <w:t xml:space="preserve"> </w:t>
      </w:r>
      <w:r w:rsidR="00BB6E39" w:rsidRPr="00054ECD">
        <w:rPr>
          <w:rFonts w:cstheme="minorHAnsi"/>
          <w:b/>
          <w:bCs/>
          <w:lang w:val="en-GB"/>
        </w:rPr>
        <w:t>Managing Director Emerging Markets</w:t>
      </w:r>
      <w:r w:rsidRPr="00054ECD">
        <w:rPr>
          <w:rFonts w:cstheme="minorHAnsi"/>
          <w:b/>
          <w:bCs/>
          <w:lang w:val="en-GB"/>
        </w:rPr>
        <w:t>, TCW</w:t>
      </w:r>
      <w:r w:rsidR="00BB6E39" w:rsidRPr="00054ECD">
        <w:rPr>
          <w:rFonts w:cstheme="minorHAnsi"/>
          <w:b/>
          <w:bCs/>
          <w:lang w:val="en-GB"/>
        </w:rPr>
        <w:t xml:space="preserve"> </w:t>
      </w:r>
    </w:p>
    <w:p w14:paraId="7C96C993" w14:textId="77777777" w:rsidR="00054ECD" w:rsidRPr="00054ECD" w:rsidRDefault="00054ECD" w:rsidP="00054ECD">
      <w:pPr>
        <w:spacing w:after="0" w:line="240" w:lineRule="auto"/>
        <w:contextualSpacing/>
        <w:rPr>
          <w:rFonts w:cstheme="minorHAnsi"/>
          <w:lang w:val="en-US"/>
        </w:rPr>
      </w:pPr>
    </w:p>
    <w:p w14:paraId="50744B12" w14:textId="6BB43D0B" w:rsidR="008C13F8" w:rsidRPr="002E258E" w:rsidRDefault="009A0D9D" w:rsidP="00054ECD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Ci sono almeno quattro motivi per cui siamo</w:t>
      </w:r>
      <w:r w:rsidR="009F53C4" w:rsidRPr="002E258E">
        <w:rPr>
          <w:rFonts w:cstheme="minorHAnsi"/>
        </w:rPr>
        <w:t xml:space="preserve"> </w:t>
      </w:r>
      <w:r w:rsidR="009F53C4" w:rsidRPr="00054ECD">
        <w:rPr>
          <w:rFonts w:cstheme="minorHAnsi"/>
          <w:b/>
          <w:bCs/>
        </w:rPr>
        <w:t xml:space="preserve">costruttivi </w:t>
      </w:r>
      <w:r w:rsidR="008C13F8" w:rsidRPr="00054ECD">
        <w:rPr>
          <w:rFonts w:cstheme="minorHAnsi"/>
          <w:b/>
          <w:bCs/>
        </w:rPr>
        <w:t xml:space="preserve">sul </w:t>
      </w:r>
      <w:r w:rsidR="009F53C4" w:rsidRPr="00054ECD">
        <w:rPr>
          <w:rFonts w:cstheme="minorHAnsi"/>
          <w:b/>
          <w:bCs/>
        </w:rPr>
        <w:t>r</w:t>
      </w:r>
      <w:r w:rsidR="008C13F8" w:rsidRPr="00054ECD">
        <w:rPr>
          <w:rFonts w:cstheme="minorHAnsi"/>
          <w:b/>
          <w:bCs/>
        </w:rPr>
        <w:t xml:space="preserve">eddito fisso dei </w:t>
      </w:r>
      <w:r w:rsidR="009F53C4" w:rsidRPr="00054ECD">
        <w:rPr>
          <w:rFonts w:cstheme="minorHAnsi"/>
          <w:b/>
          <w:bCs/>
        </w:rPr>
        <w:t>m</w:t>
      </w:r>
      <w:r w:rsidR="008C13F8" w:rsidRPr="00054ECD">
        <w:rPr>
          <w:rFonts w:cstheme="minorHAnsi"/>
          <w:b/>
          <w:bCs/>
        </w:rPr>
        <w:t>ercati emergenti</w:t>
      </w:r>
      <w:r w:rsidR="009F53C4" w:rsidRPr="002E258E">
        <w:rPr>
          <w:rFonts w:cstheme="minorHAnsi"/>
        </w:rPr>
        <w:t xml:space="preserve">: la </w:t>
      </w:r>
      <w:r w:rsidR="008C13F8" w:rsidRPr="002E258E">
        <w:rPr>
          <w:rFonts w:cstheme="minorHAnsi"/>
        </w:rPr>
        <w:t>sovra</w:t>
      </w:r>
      <w:r w:rsidR="009F53C4" w:rsidRPr="002E258E">
        <w:rPr>
          <w:rFonts w:cstheme="minorHAnsi"/>
        </w:rPr>
        <w:t xml:space="preserve"> </w:t>
      </w:r>
      <w:r w:rsidR="008C13F8" w:rsidRPr="002E258E">
        <w:rPr>
          <w:rFonts w:cstheme="minorHAnsi"/>
        </w:rPr>
        <w:t xml:space="preserve">performance della crescita dei </w:t>
      </w:r>
      <w:r w:rsidR="009F53C4" w:rsidRPr="002E258E">
        <w:rPr>
          <w:rFonts w:cstheme="minorHAnsi"/>
        </w:rPr>
        <w:t>m</w:t>
      </w:r>
      <w:r w:rsidR="008C13F8" w:rsidRPr="002E258E">
        <w:rPr>
          <w:rFonts w:cstheme="minorHAnsi"/>
        </w:rPr>
        <w:t xml:space="preserve">ercati </w:t>
      </w:r>
      <w:r w:rsidR="00CC6F60" w:rsidRPr="002E258E">
        <w:rPr>
          <w:rFonts w:cstheme="minorHAnsi"/>
        </w:rPr>
        <w:t>e</w:t>
      </w:r>
      <w:r w:rsidR="008C13F8" w:rsidRPr="002E258E">
        <w:rPr>
          <w:rFonts w:cstheme="minorHAnsi"/>
        </w:rPr>
        <w:t xml:space="preserve">mergenti rispetto a quella dei </w:t>
      </w:r>
      <w:r w:rsidR="009F53C4" w:rsidRPr="002E258E">
        <w:rPr>
          <w:rFonts w:cstheme="minorHAnsi"/>
        </w:rPr>
        <w:t xml:space="preserve">mercati sviluppati; il </w:t>
      </w:r>
      <w:r w:rsidR="008C13F8" w:rsidRPr="002E258E">
        <w:rPr>
          <w:rFonts w:cstheme="minorHAnsi"/>
        </w:rPr>
        <w:t>miglioramento della dinamica dell'inflazione globale</w:t>
      </w:r>
      <w:r w:rsidR="009F53C4" w:rsidRPr="002E258E">
        <w:rPr>
          <w:rFonts w:cstheme="minorHAnsi"/>
        </w:rPr>
        <w:t>;</w:t>
      </w:r>
      <w:r w:rsidR="008C13F8" w:rsidRPr="002E258E">
        <w:rPr>
          <w:rFonts w:cstheme="minorHAnsi"/>
        </w:rPr>
        <w:t xml:space="preserve"> </w:t>
      </w:r>
      <w:r w:rsidR="009F53C4" w:rsidRPr="002E258E">
        <w:rPr>
          <w:rFonts w:cstheme="minorHAnsi"/>
        </w:rPr>
        <w:t>l’</w:t>
      </w:r>
      <w:r w:rsidR="008C13F8" w:rsidRPr="002E258E">
        <w:rPr>
          <w:rFonts w:cstheme="minorHAnsi"/>
        </w:rPr>
        <w:t xml:space="preserve">allentamento delle condizioni finanziarie, che storicamente ha favorito </w:t>
      </w:r>
      <w:r w:rsidR="00FF559D" w:rsidRPr="002E258E">
        <w:rPr>
          <w:rFonts w:cstheme="minorHAnsi"/>
        </w:rPr>
        <w:t>la classe d’investimento</w:t>
      </w:r>
      <w:r w:rsidR="009F53C4" w:rsidRPr="002E258E">
        <w:rPr>
          <w:rFonts w:cstheme="minorHAnsi"/>
        </w:rPr>
        <w:t>;</w:t>
      </w:r>
      <w:r w:rsidR="008C13F8" w:rsidRPr="002E258E">
        <w:rPr>
          <w:rFonts w:cstheme="minorHAnsi"/>
        </w:rPr>
        <w:t xml:space="preserve"> e</w:t>
      </w:r>
      <w:r>
        <w:rPr>
          <w:rFonts w:cstheme="minorHAnsi"/>
        </w:rPr>
        <w:t>, infine,</w:t>
      </w:r>
      <w:r w:rsidR="008C13F8" w:rsidRPr="002E258E">
        <w:rPr>
          <w:rFonts w:cstheme="minorHAnsi"/>
        </w:rPr>
        <w:t xml:space="preserve"> </w:t>
      </w:r>
      <w:r w:rsidR="009F53C4" w:rsidRPr="002E258E">
        <w:rPr>
          <w:rFonts w:cstheme="minorHAnsi"/>
        </w:rPr>
        <w:t>le</w:t>
      </w:r>
      <w:r w:rsidR="008C13F8" w:rsidRPr="002E258E">
        <w:rPr>
          <w:rFonts w:cstheme="minorHAnsi"/>
        </w:rPr>
        <w:t xml:space="preserve"> valutazioni interessanti. Inoltre, il </w:t>
      </w:r>
      <w:r w:rsidR="008C13F8" w:rsidRPr="00054ECD">
        <w:rPr>
          <w:rFonts w:cstheme="minorHAnsi"/>
          <w:b/>
          <w:bCs/>
        </w:rPr>
        <w:t>posizionamento tecnico appare favorevole, in quanto gli investitori sembrano ampiamente sottopesa</w:t>
      </w:r>
      <w:r w:rsidR="009F53C4" w:rsidRPr="00054ECD">
        <w:rPr>
          <w:rFonts w:cstheme="minorHAnsi"/>
          <w:b/>
          <w:bCs/>
        </w:rPr>
        <w:t>re questa asset class</w:t>
      </w:r>
      <w:r w:rsidR="009F53C4" w:rsidRPr="002E258E">
        <w:rPr>
          <w:rFonts w:cstheme="minorHAnsi"/>
        </w:rPr>
        <w:t>, anche se i</w:t>
      </w:r>
      <w:r w:rsidR="008C13F8" w:rsidRPr="002E258E">
        <w:rPr>
          <w:rFonts w:cstheme="minorHAnsi"/>
        </w:rPr>
        <w:t xml:space="preserve"> rischi geopolitici ed elettorali rimangono in primo piano e richiedono un attento monitoraggio.</w:t>
      </w:r>
    </w:p>
    <w:p w14:paraId="1FF24003" w14:textId="77777777" w:rsidR="00054ECD" w:rsidRDefault="00054ECD" w:rsidP="00054ECD">
      <w:pPr>
        <w:spacing w:after="0" w:line="240" w:lineRule="auto"/>
        <w:contextualSpacing/>
        <w:rPr>
          <w:rFonts w:cstheme="minorHAnsi"/>
          <w:u w:val="single"/>
        </w:rPr>
      </w:pPr>
    </w:p>
    <w:p w14:paraId="49D84D8D" w14:textId="0A23F171" w:rsidR="00054ECD" w:rsidRDefault="009F53C4" w:rsidP="00054ECD">
      <w:pPr>
        <w:spacing w:after="0" w:line="240" w:lineRule="auto"/>
        <w:contextualSpacing/>
        <w:rPr>
          <w:rFonts w:cstheme="minorHAnsi"/>
          <w:u w:val="single"/>
        </w:rPr>
      </w:pPr>
      <w:r w:rsidRPr="00054ECD">
        <w:rPr>
          <w:rFonts w:cstheme="minorHAnsi"/>
          <w:u w:val="single"/>
        </w:rPr>
        <w:t>Le prospettive di crescita</w:t>
      </w:r>
      <w:r w:rsidR="009A0D9D">
        <w:rPr>
          <w:rFonts w:cstheme="minorHAnsi"/>
          <w:u w:val="single"/>
        </w:rPr>
        <w:t xml:space="preserve"> </w:t>
      </w:r>
    </w:p>
    <w:p w14:paraId="7799DED2" w14:textId="4AAF8042" w:rsidR="0088416A" w:rsidRDefault="009F53C4" w:rsidP="00054ECD">
      <w:pPr>
        <w:spacing w:after="0" w:line="240" w:lineRule="auto"/>
        <w:contextualSpacing/>
        <w:rPr>
          <w:rFonts w:cstheme="minorHAnsi"/>
        </w:rPr>
      </w:pPr>
      <w:r w:rsidRPr="009A0D9D">
        <w:rPr>
          <w:rFonts w:cstheme="minorHAnsi"/>
        </w:rPr>
        <w:t>Nel quarto trimestre</w:t>
      </w:r>
      <w:r w:rsidRPr="002E258E">
        <w:rPr>
          <w:rFonts w:cstheme="minorHAnsi"/>
        </w:rPr>
        <w:t xml:space="preserve"> i</w:t>
      </w:r>
      <w:r w:rsidR="00337B20" w:rsidRPr="002E258E">
        <w:rPr>
          <w:rFonts w:cstheme="minorHAnsi"/>
        </w:rPr>
        <w:t xml:space="preserve">l </w:t>
      </w:r>
      <w:r w:rsidRPr="002E258E">
        <w:rPr>
          <w:rFonts w:cstheme="minorHAnsi"/>
        </w:rPr>
        <w:t>r</w:t>
      </w:r>
      <w:r w:rsidR="00337B20" w:rsidRPr="002E258E">
        <w:rPr>
          <w:rFonts w:cstheme="minorHAnsi"/>
        </w:rPr>
        <w:t xml:space="preserve">eddito fisso dei </w:t>
      </w:r>
      <w:r w:rsidRPr="002E258E">
        <w:rPr>
          <w:rFonts w:cstheme="minorHAnsi"/>
        </w:rPr>
        <w:t>m</w:t>
      </w:r>
      <w:r w:rsidR="00337B20" w:rsidRPr="002E258E">
        <w:rPr>
          <w:rFonts w:cstheme="minorHAnsi"/>
        </w:rPr>
        <w:t>ercati emergenti ha registrat</w:t>
      </w:r>
      <w:r w:rsidRPr="002E258E">
        <w:rPr>
          <w:rFonts w:cstheme="minorHAnsi"/>
        </w:rPr>
        <w:t>o</w:t>
      </w:r>
      <w:r w:rsidR="00337B20" w:rsidRPr="002E258E">
        <w:rPr>
          <w:rFonts w:cstheme="minorHAnsi"/>
        </w:rPr>
        <w:t xml:space="preserve"> un solido rally, sulla scia delle crescenti aspettative di tagli dei tassi negli Stati Uniti e del potenziale di un atterraggio morbido</w:t>
      </w:r>
      <w:r w:rsidRPr="002E258E">
        <w:rPr>
          <w:rFonts w:cstheme="minorHAnsi"/>
        </w:rPr>
        <w:t xml:space="preserve"> dell’economia americana</w:t>
      </w:r>
      <w:r w:rsidR="00337B20" w:rsidRPr="002E258E">
        <w:rPr>
          <w:rFonts w:cstheme="minorHAnsi"/>
        </w:rPr>
        <w:t xml:space="preserve">. </w:t>
      </w:r>
      <w:r w:rsidR="009B64DD" w:rsidRPr="002E258E">
        <w:rPr>
          <w:rFonts w:cstheme="minorHAnsi"/>
        </w:rPr>
        <w:t xml:space="preserve">Guardando al futuro, </w:t>
      </w:r>
      <w:r w:rsidR="002E258E" w:rsidRPr="002E258E">
        <w:rPr>
          <w:rFonts w:cstheme="minorHAnsi"/>
        </w:rPr>
        <w:t>r</w:t>
      </w:r>
      <w:r w:rsidR="002E258E">
        <w:rPr>
          <w:rFonts w:cstheme="minorHAnsi"/>
        </w:rPr>
        <w:t>estiamo</w:t>
      </w:r>
      <w:r w:rsidR="002E258E" w:rsidRPr="002E258E">
        <w:rPr>
          <w:rFonts w:cstheme="minorHAnsi"/>
        </w:rPr>
        <w:t xml:space="preserve"> </w:t>
      </w:r>
      <w:r w:rsidR="009B64DD" w:rsidRPr="002E258E">
        <w:rPr>
          <w:rFonts w:cstheme="minorHAnsi"/>
        </w:rPr>
        <w:t>costruttivi</w:t>
      </w:r>
      <w:r w:rsidRPr="002E258E">
        <w:rPr>
          <w:rFonts w:cstheme="minorHAnsi"/>
        </w:rPr>
        <w:t>,</w:t>
      </w:r>
      <w:r w:rsidR="009B64DD" w:rsidRPr="002E258E">
        <w:rPr>
          <w:rFonts w:cstheme="minorHAnsi"/>
        </w:rPr>
        <w:t xml:space="preserve"> soprattutto perché le prospettive economiche e d</w:t>
      </w:r>
      <w:r w:rsidR="00986922" w:rsidRPr="002E258E">
        <w:rPr>
          <w:rFonts w:cstheme="minorHAnsi"/>
        </w:rPr>
        <w:t>ell’</w:t>
      </w:r>
      <w:r w:rsidR="009B64DD" w:rsidRPr="002E258E">
        <w:rPr>
          <w:rFonts w:cstheme="minorHAnsi"/>
        </w:rPr>
        <w:t xml:space="preserve">inflazione continuano a migliorare. Si prevede che </w:t>
      </w:r>
      <w:r w:rsidR="009B64DD" w:rsidRPr="00054ECD">
        <w:rPr>
          <w:rFonts w:cstheme="minorHAnsi"/>
          <w:b/>
          <w:bCs/>
        </w:rPr>
        <w:t xml:space="preserve">le economie dei </w:t>
      </w:r>
      <w:r w:rsidRPr="00054ECD">
        <w:rPr>
          <w:rFonts w:cstheme="minorHAnsi"/>
          <w:b/>
          <w:bCs/>
        </w:rPr>
        <w:t>mercati emergenti</w:t>
      </w:r>
      <w:r w:rsidR="009B64DD" w:rsidRPr="00054ECD">
        <w:rPr>
          <w:rFonts w:cstheme="minorHAnsi"/>
          <w:b/>
          <w:bCs/>
        </w:rPr>
        <w:t xml:space="preserve"> globali cresceranno tra il 3,5 e il 4,0% nel 2024, il che suggerisce una maggiore </w:t>
      </w:r>
      <w:r w:rsidRPr="00054ECD">
        <w:rPr>
          <w:rFonts w:cstheme="minorHAnsi"/>
          <w:b/>
          <w:bCs/>
        </w:rPr>
        <w:t>sovra performance</w:t>
      </w:r>
      <w:r w:rsidR="009B64DD" w:rsidRPr="00054ECD">
        <w:rPr>
          <w:rFonts w:cstheme="minorHAnsi"/>
          <w:b/>
          <w:bCs/>
        </w:rPr>
        <w:t xml:space="preserve"> rispetto agli USA</w:t>
      </w:r>
      <w:r w:rsidR="009B64DD" w:rsidRPr="002E258E">
        <w:rPr>
          <w:rFonts w:cstheme="minorHAnsi"/>
        </w:rPr>
        <w:t>, dove la crescita</w:t>
      </w:r>
      <w:r w:rsidR="00986922" w:rsidRPr="002E258E">
        <w:rPr>
          <w:rFonts w:cstheme="minorHAnsi"/>
        </w:rPr>
        <w:t>, secondo il F</w:t>
      </w:r>
      <w:r w:rsidRPr="002E258E">
        <w:rPr>
          <w:rFonts w:cstheme="minorHAnsi"/>
        </w:rPr>
        <w:t>ondo monetario internazionale</w:t>
      </w:r>
      <w:r w:rsidR="00986922" w:rsidRPr="002E258E">
        <w:rPr>
          <w:rFonts w:cstheme="minorHAnsi"/>
        </w:rPr>
        <w:t>,</w:t>
      </w:r>
      <w:r w:rsidR="009B64DD" w:rsidRPr="002E258E">
        <w:rPr>
          <w:rFonts w:cstheme="minorHAnsi"/>
        </w:rPr>
        <w:t xml:space="preserve"> dovrebbe rallentare</w:t>
      </w:r>
      <w:r w:rsidR="00986922" w:rsidRPr="002E258E">
        <w:rPr>
          <w:rFonts w:cstheme="minorHAnsi"/>
        </w:rPr>
        <w:t>,</w:t>
      </w:r>
      <w:r w:rsidR="009B64DD" w:rsidRPr="002E258E">
        <w:rPr>
          <w:rFonts w:cstheme="minorHAnsi"/>
        </w:rPr>
        <w:t xml:space="preserve"> da oltre il 2% nel 2023</w:t>
      </w:r>
      <w:r w:rsidR="00986922" w:rsidRPr="002E258E">
        <w:rPr>
          <w:rFonts w:cstheme="minorHAnsi"/>
        </w:rPr>
        <w:t>,</w:t>
      </w:r>
      <w:r w:rsidR="009B64DD" w:rsidRPr="002E258E">
        <w:rPr>
          <w:rFonts w:cstheme="minorHAnsi"/>
        </w:rPr>
        <w:t xml:space="preserve"> a circa l'1,5% quest'anno. Le prospettive di crescita </w:t>
      </w:r>
      <w:r w:rsidR="00240C98" w:rsidRPr="002E258E">
        <w:rPr>
          <w:rFonts w:cstheme="minorHAnsi"/>
        </w:rPr>
        <w:t xml:space="preserve">per i </w:t>
      </w:r>
      <w:r w:rsidRPr="002E258E">
        <w:rPr>
          <w:rFonts w:cstheme="minorHAnsi"/>
        </w:rPr>
        <w:t>mercati emergenti</w:t>
      </w:r>
      <w:r w:rsidR="009B64DD" w:rsidRPr="002E258E">
        <w:rPr>
          <w:rFonts w:cstheme="minorHAnsi"/>
        </w:rPr>
        <w:t xml:space="preserve"> riflettono una combinazione di </w:t>
      </w:r>
      <w:r w:rsidR="00240C98" w:rsidRPr="002E258E">
        <w:rPr>
          <w:rFonts w:cstheme="minorHAnsi"/>
        </w:rPr>
        <w:t>solidi</w:t>
      </w:r>
      <w:r w:rsidR="009B64DD" w:rsidRPr="002E258E">
        <w:rPr>
          <w:rFonts w:cstheme="minorHAnsi"/>
        </w:rPr>
        <w:t xml:space="preserve"> prezzi delle materie prime e di </w:t>
      </w:r>
      <w:r w:rsidR="00240C98" w:rsidRPr="002E258E">
        <w:rPr>
          <w:rFonts w:cstheme="minorHAnsi"/>
        </w:rPr>
        <w:t xml:space="preserve">un </w:t>
      </w:r>
      <w:r w:rsidR="009B64DD" w:rsidRPr="002E258E">
        <w:rPr>
          <w:rFonts w:cstheme="minorHAnsi"/>
        </w:rPr>
        <w:t xml:space="preserve">allentamento monetario, nel contesto di un atterraggio morbido negli </w:t>
      </w:r>
      <w:r w:rsidR="00240C98" w:rsidRPr="002E258E">
        <w:rPr>
          <w:rFonts w:cstheme="minorHAnsi"/>
        </w:rPr>
        <w:t>USA</w:t>
      </w:r>
      <w:r w:rsidR="009B64DD" w:rsidRPr="002E258E">
        <w:rPr>
          <w:rFonts w:cstheme="minorHAnsi"/>
        </w:rPr>
        <w:t xml:space="preserve">. La </w:t>
      </w:r>
      <w:r w:rsidR="00EE4C8D" w:rsidRPr="002E258E">
        <w:rPr>
          <w:rFonts w:cstheme="minorHAnsi"/>
        </w:rPr>
        <w:t>consistenza</w:t>
      </w:r>
      <w:r w:rsidR="009B64DD" w:rsidRPr="002E258E">
        <w:rPr>
          <w:rFonts w:cstheme="minorHAnsi"/>
        </w:rPr>
        <w:t xml:space="preserve"> del rally </w:t>
      </w:r>
      <w:r w:rsidR="005B0F9B" w:rsidRPr="002E258E">
        <w:rPr>
          <w:rFonts w:cstheme="minorHAnsi"/>
        </w:rPr>
        <w:t>n</w:t>
      </w:r>
      <w:r w:rsidR="009B64DD" w:rsidRPr="002E258E">
        <w:rPr>
          <w:rFonts w:cstheme="minorHAnsi"/>
        </w:rPr>
        <w:t xml:space="preserve">el quarto trimestre potrebbe </w:t>
      </w:r>
      <w:r w:rsidR="005B0F9B" w:rsidRPr="002E258E">
        <w:rPr>
          <w:rFonts w:cstheme="minorHAnsi"/>
        </w:rPr>
        <w:t>determinare</w:t>
      </w:r>
      <w:r w:rsidR="009B64DD" w:rsidRPr="002E258E">
        <w:rPr>
          <w:rFonts w:cstheme="minorHAnsi"/>
        </w:rPr>
        <w:t xml:space="preserve"> un consolidamento </w:t>
      </w:r>
      <w:r w:rsidR="00C64C81" w:rsidRPr="002E258E">
        <w:rPr>
          <w:rFonts w:cstheme="minorHAnsi"/>
        </w:rPr>
        <w:t>a inizio</w:t>
      </w:r>
      <w:r w:rsidR="009B64DD" w:rsidRPr="002E258E">
        <w:rPr>
          <w:rFonts w:cstheme="minorHAnsi"/>
        </w:rPr>
        <w:t xml:space="preserve"> 2024, ma restiamo complessivamente costruttivi sulle prospettive per l'intero anno.</w:t>
      </w:r>
      <w:r w:rsidRPr="002E258E">
        <w:rPr>
          <w:rFonts w:cstheme="minorHAnsi"/>
        </w:rPr>
        <w:br/>
      </w:r>
      <w:r w:rsidRPr="002E258E">
        <w:rPr>
          <w:rFonts w:cstheme="minorHAnsi"/>
        </w:rPr>
        <w:br/>
      </w:r>
      <w:r w:rsidRPr="00054ECD">
        <w:rPr>
          <w:rFonts w:cstheme="minorHAnsi"/>
          <w:u w:val="single"/>
        </w:rPr>
        <w:t xml:space="preserve">Cina: il freno di export e </w:t>
      </w:r>
      <w:proofErr w:type="spellStart"/>
      <w:r w:rsidRPr="00054ECD">
        <w:rPr>
          <w:rFonts w:cstheme="minorHAnsi"/>
          <w:u w:val="single"/>
        </w:rPr>
        <w:t>real</w:t>
      </w:r>
      <w:proofErr w:type="spellEnd"/>
      <w:r w:rsidRPr="00054ECD">
        <w:rPr>
          <w:rFonts w:cstheme="minorHAnsi"/>
          <w:u w:val="single"/>
        </w:rPr>
        <w:t xml:space="preserve"> estate</w:t>
      </w:r>
      <w:r w:rsidRPr="00054ECD">
        <w:rPr>
          <w:rFonts w:cstheme="minorHAnsi"/>
          <w:u w:val="single"/>
        </w:rPr>
        <w:br/>
      </w:r>
      <w:r w:rsidR="003F56A5" w:rsidRPr="002E258E">
        <w:rPr>
          <w:rFonts w:cstheme="minorHAnsi"/>
        </w:rPr>
        <w:t xml:space="preserve">Per quanto riguarda la </w:t>
      </w:r>
      <w:r w:rsidR="003F56A5" w:rsidRPr="00054ECD">
        <w:rPr>
          <w:rFonts w:cstheme="minorHAnsi"/>
          <w:b/>
          <w:bCs/>
        </w:rPr>
        <w:t>Cina, prevediamo un rallentamento della crescita nel 2024, i</w:t>
      </w:r>
      <w:r w:rsidR="003B51B6" w:rsidRPr="00054ECD">
        <w:rPr>
          <w:rFonts w:cstheme="minorHAnsi"/>
          <w:b/>
          <w:bCs/>
        </w:rPr>
        <w:t>ndicativamente</w:t>
      </w:r>
      <w:r w:rsidR="003F56A5" w:rsidRPr="00054ECD">
        <w:rPr>
          <w:rFonts w:cstheme="minorHAnsi"/>
          <w:b/>
          <w:bCs/>
        </w:rPr>
        <w:t xml:space="preserve"> al 4,5%</w:t>
      </w:r>
      <w:r w:rsidR="003F56A5" w:rsidRPr="002E258E">
        <w:rPr>
          <w:rFonts w:cstheme="minorHAnsi"/>
        </w:rPr>
        <w:t xml:space="preserve">, con un piccolo rischio </w:t>
      </w:r>
      <w:r w:rsidR="003B51B6" w:rsidRPr="002E258E">
        <w:rPr>
          <w:rFonts w:cstheme="minorHAnsi"/>
        </w:rPr>
        <w:t>al</w:t>
      </w:r>
      <w:r w:rsidR="003F56A5" w:rsidRPr="002E258E">
        <w:rPr>
          <w:rFonts w:cstheme="minorHAnsi"/>
        </w:rPr>
        <w:t xml:space="preserve"> rialzo in caso di </w:t>
      </w:r>
      <w:r w:rsidR="003B51B6" w:rsidRPr="002E258E">
        <w:rPr>
          <w:rFonts w:cstheme="minorHAnsi"/>
        </w:rPr>
        <w:t xml:space="preserve">un </w:t>
      </w:r>
      <w:r w:rsidR="003F56A5" w:rsidRPr="002E258E">
        <w:rPr>
          <w:rFonts w:cstheme="minorHAnsi"/>
        </w:rPr>
        <w:t>maggiore s</w:t>
      </w:r>
      <w:r w:rsidR="003B51B6" w:rsidRPr="002E258E">
        <w:rPr>
          <w:rFonts w:cstheme="minorHAnsi"/>
        </w:rPr>
        <w:t>upporto</w:t>
      </w:r>
      <w:r w:rsidR="003F56A5" w:rsidRPr="002E258E">
        <w:rPr>
          <w:rFonts w:cstheme="minorHAnsi"/>
        </w:rPr>
        <w:t xml:space="preserve"> da parte della politica fiscale e monetaria. </w:t>
      </w:r>
      <w:r w:rsidR="003B51B6" w:rsidRPr="002E258E">
        <w:rPr>
          <w:rFonts w:cstheme="minorHAnsi"/>
        </w:rPr>
        <w:t>Considerate</w:t>
      </w:r>
      <w:r w:rsidR="003F56A5" w:rsidRPr="002E258E">
        <w:rPr>
          <w:rFonts w:cstheme="minorHAnsi"/>
        </w:rPr>
        <w:t xml:space="preserve"> la determinazione dei </w:t>
      </w:r>
      <w:r w:rsidR="009A0D9D">
        <w:rPr>
          <w:rFonts w:cstheme="minorHAnsi"/>
        </w:rPr>
        <w:t>policy maker</w:t>
      </w:r>
      <w:r w:rsidR="003F56A5" w:rsidRPr="002E258E">
        <w:rPr>
          <w:rFonts w:cstheme="minorHAnsi"/>
        </w:rPr>
        <w:t xml:space="preserve"> a dirottare gli investimenti </w:t>
      </w:r>
      <w:r w:rsidR="003B51B6" w:rsidRPr="002E258E">
        <w:rPr>
          <w:rFonts w:cstheme="minorHAnsi"/>
        </w:rPr>
        <w:t>dal</w:t>
      </w:r>
      <w:r w:rsidR="003F56A5" w:rsidRPr="002E258E">
        <w:rPr>
          <w:rFonts w:cstheme="minorHAnsi"/>
        </w:rPr>
        <w:t xml:space="preserve"> settore immobiliare e una domanda esterna ancora debole, </w:t>
      </w:r>
      <w:r w:rsidR="003F56A5" w:rsidRPr="00054ECD">
        <w:rPr>
          <w:rFonts w:cstheme="minorHAnsi"/>
          <w:b/>
          <w:bCs/>
        </w:rPr>
        <w:t>è probabile che il settore immobiliare e le esportazioni continuino a frenare la crescita</w:t>
      </w:r>
      <w:r w:rsidR="009A0D9D">
        <w:rPr>
          <w:rFonts w:cstheme="minorHAnsi"/>
          <w:b/>
          <w:bCs/>
        </w:rPr>
        <w:t xml:space="preserve">, </w:t>
      </w:r>
      <w:r w:rsidR="003F56A5" w:rsidRPr="00054ECD">
        <w:rPr>
          <w:rFonts w:cstheme="minorHAnsi"/>
          <w:b/>
          <w:bCs/>
        </w:rPr>
        <w:t>anche se in misura minore rispetto al 2023.</w:t>
      </w:r>
      <w:r w:rsidR="003F56A5" w:rsidRPr="002E258E">
        <w:rPr>
          <w:rFonts w:cstheme="minorHAnsi"/>
        </w:rPr>
        <w:t xml:space="preserve"> La Banca Popolare Cinese manterrà probabilmente accomodanti le condizioni monetarie, ma l'entità d</w:t>
      </w:r>
      <w:r w:rsidR="003B51B6" w:rsidRPr="002E258E">
        <w:rPr>
          <w:rFonts w:cstheme="minorHAnsi"/>
        </w:rPr>
        <w:t>i tal</w:t>
      </w:r>
      <w:r w:rsidR="00BB2F5B" w:rsidRPr="002E258E">
        <w:rPr>
          <w:rFonts w:cstheme="minorHAnsi"/>
        </w:rPr>
        <w:t>i</w:t>
      </w:r>
      <w:r w:rsidR="003B51B6" w:rsidRPr="002E258E">
        <w:rPr>
          <w:rFonts w:cstheme="minorHAnsi"/>
        </w:rPr>
        <w:t xml:space="preserve"> </w:t>
      </w:r>
      <w:r w:rsidRPr="002E258E">
        <w:rPr>
          <w:rFonts w:cstheme="minorHAnsi"/>
        </w:rPr>
        <w:t>politiche</w:t>
      </w:r>
      <w:r w:rsidR="003F56A5" w:rsidRPr="002E258E">
        <w:rPr>
          <w:rFonts w:cstheme="minorHAnsi"/>
        </w:rPr>
        <w:t xml:space="preserve"> sarà limitata dal desiderio di </w:t>
      </w:r>
      <w:r w:rsidR="00BA7359" w:rsidRPr="002E258E">
        <w:rPr>
          <w:rFonts w:cstheme="minorHAnsi"/>
        </w:rPr>
        <w:t>arginare</w:t>
      </w:r>
      <w:r w:rsidR="003F56A5" w:rsidRPr="002E258E">
        <w:rPr>
          <w:rFonts w:cstheme="minorHAnsi"/>
        </w:rPr>
        <w:t xml:space="preserve"> l'eccessiva volatilità del tasso di cambio e dei flussi di capitale, nonché dalla necessità di proteggere i margini d’interesse netti delle banche. Inoltre, a fronte del fatto che i settori ad alta intensità di importazioni, come </w:t>
      </w:r>
      <w:r w:rsidR="00BA7359" w:rsidRPr="002E258E">
        <w:rPr>
          <w:rFonts w:cstheme="minorHAnsi"/>
        </w:rPr>
        <w:t>il comparto</w:t>
      </w:r>
      <w:r w:rsidR="003F56A5" w:rsidRPr="002E258E">
        <w:rPr>
          <w:rFonts w:cstheme="minorHAnsi"/>
        </w:rPr>
        <w:t xml:space="preserve"> immobiliare e </w:t>
      </w:r>
      <w:r w:rsidR="00BA7359" w:rsidRPr="002E258E">
        <w:rPr>
          <w:rFonts w:cstheme="minorHAnsi"/>
        </w:rPr>
        <w:t xml:space="preserve">quello </w:t>
      </w:r>
      <w:r w:rsidR="003F56A5" w:rsidRPr="002E258E">
        <w:rPr>
          <w:rFonts w:cstheme="minorHAnsi"/>
        </w:rPr>
        <w:t xml:space="preserve">delle esportazioni, </w:t>
      </w:r>
      <w:r w:rsidR="00BA7359" w:rsidRPr="002E258E">
        <w:rPr>
          <w:rFonts w:cstheme="minorHAnsi"/>
        </w:rPr>
        <w:t xml:space="preserve">sono </w:t>
      </w:r>
      <w:r w:rsidR="003F56A5" w:rsidRPr="002E258E">
        <w:rPr>
          <w:rFonts w:cstheme="minorHAnsi"/>
        </w:rPr>
        <w:t xml:space="preserve">ancora deboli, non prevediamo che la crescita cinese fornisca una spinta ad altri </w:t>
      </w:r>
      <w:r w:rsidRPr="002E258E">
        <w:rPr>
          <w:rFonts w:cstheme="minorHAnsi"/>
        </w:rPr>
        <w:t>paesi sviluppati ed emergenti</w:t>
      </w:r>
      <w:r w:rsidR="00BA7359" w:rsidRPr="002E258E">
        <w:rPr>
          <w:rFonts w:cstheme="minorHAnsi"/>
        </w:rPr>
        <w:t>,</w:t>
      </w:r>
      <w:r w:rsidR="003F56A5" w:rsidRPr="002E258E">
        <w:rPr>
          <w:rFonts w:cstheme="minorHAnsi"/>
        </w:rPr>
        <w:t xml:space="preserve"> com</w:t>
      </w:r>
      <w:r w:rsidR="006C17B4" w:rsidRPr="002E258E">
        <w:rPr>
          <w:rFonts w:cstheme="minorHAnsi"/>
        </w:rPr>
        <w:t>’è accaduto</w:t>
      </w:r>
      <w:r w:rsidR="003F56A5" w:rsidRPr="002E258E">
        <w:rPr>
          <w:rFonts w:cstheme="minorHAnsi"/>
        </w:rPr>
        <w:t xml:space="preserve"> in passato.</w:t>
      </w:r>
    </w:p>
    <w:p w14:paraId="154E88D2" w14:textId="77777777" w:rsidR="00054ECD" w:rsidRPr="002E258E" w:rsidRDefault="00054ECD" w:rsidP="00054ECD">
      <w:pPr>
        <w:spacing w:after="0" w:line="240" w:lineRule="auto"/>
        <w:contextualSpacing/>
        <w:rPr>
          <w:rFonts w:cstheme="minorHAnsi"/>
        </w:rPr>
      </w:pPr>
    </w:p>
    <w:p w14:paraId="11660C67" w14:textId="77777777" w:rsidR="00054ECD" w:rsidRDefault="0088416A" w:rsidP="00054ECD">
      <w:pPr>
        <w:spacing w:after="0" w:line="240" w:lineRule="auto"/>
        <w:contextualSpacing/>
        <w:rPr>
          <w:rFonts w:cstheme="minorHAnsi"/>
        </w:rPr>
      </w:pPr>
      <w:r w:rsidRPr="00054ECD">
        <w:rPr>
          <w:rFonts w:cstheme="minorHAnsi"/>
          <w:u w:val="single"/>
        </w:rPr>
        <w:t>I paesi verso la promozione</w:t>
      </w:r>
      <w:r w:rsidRPr="002E258E">
        <w:rPr>
          <w:rFonts w:cstheme="minorHAnsi"/>
          <w:u w:val="single"/>
        </w:rPr>
        <w:br/>
      </w:r>
      <w:r w:rsidR="002E258E" w:rsidRPr="002E258E">
        <w:rPr>
          <w:rFonts w:cstheme="minorHAnsi"/>
        </w:rPr>
        <w:t xml:space="preserve">L’inflazione sta rallentando in tutto il mondo e le principali banche centrali dei mercati emergenti, a eccezione di Cina e Turchia, hanno avviato, per la maggior parte, i loro cicli di allentamento. Si prevede che le banche centrali dei mercati sviluppati ne seguiranno l’esempio a partire dal primo semestre del 2024, ciò lascia presagire condizioni finanziarie globali più allentate per il secondo semestre. </w:t>
      </w:r>
      <w:r w:rsidR="002E258E" w:rsidRPr="00054ECD">
        <w:rPr>
          <w:rFonts w:cstheme="minorHAnsi"/>
          <w:b/>
          <w:bCs/>
        </w:rPr>
        <w:t>Storicamente,</w:t>
      </w:r>
      <w:r w:rsidR="002E258E" w:rsidRPr="002E258E">
        <w:rPr>
          <w:rFonts w:cstheme="minorHAnsi"/>
        </w:rPr>
        <w:t xml:space="preserve"> </w:t>
      </w:r>
      <w:r w:rsidR="002E258E" w:rsidRPr="00054ECD">
        <w:rPr>
          <w:rFonts w:cstheme="minorHAnsi"/>
          <w:b/>
          <w:bCs/>
        </w:rPr>
        <w:t xml:space="preserve">il reddito fisso dei mercati emergenti ha registrato buone performance durante i cicli di tagli dei tassi della Fed. </w:t>
      </w:r>
      <w:r w:rsidR="00BB2F5B" w:rsidRPr="002E258E">
        <w:rPr>
          <w:rFonts w:cstheme="minorHAnsi"/>
        </w:rPr>
        <w:t xml:space="preserve">I </w:t>
      </w:r>
      <w:r w:rsidR="00BB2F5B" w:rsidRPr="00054ECD">
        <w:rPr>
          <w:rFonts w:cstheme="minorHAnsi"/>
          <w:b/>
          <w:bCs/>
        </w:rPr>
        <w:t xml:space="preserve">fondamentali degli emittenti sovrani dei </w:t>
      </w:r>
      <w:r w:rsidR="005743A7" w:rsidRPr="00054ECD">
        <w:rPr>
          <w:rFonts w:cstheme="minorHAnsi"/>
          <w:b/>
          <w:bCs/>
        </w:rPr>
        <w:t>mercati emergenti</w:t>
      </w:r>
      <w:r w:rsidR="00BB2F5B" w:rsidRPr="00054ECD">
        <w:rPr>
          <w:rFonts w:cstheme="minorHAnsi"/>
          <w:b/>
          <w:bCs/>
        </w:rPr>
        <w:t xml:space="preserve"> sono relativamente solidi</w:t>
      </w:r>
      <w:r w:rsidR="00BB2F5B" w:rsidRPr="002E258E">
        <w:rPr>
          <w:rFonts w:cstheme="minorHAnsi"/>
        </w:rPr>
        <w:t xml:space="preserve">, dopo una normalizzazione delle politiche post-pandemia, caratterizzata principalmente da condizioni monetarie e politiche più restrittive. Pur prevedendo un certo deterioramento fiscale a causa dell'indebolimento dell'attività economica, </w:t>
      </w:r>
      <w:r w:rsidR="005743A7">
        <w:rPr>
          <w:rFonts w:cstheme="minorHAnsi"/>
        </w:rPr>
        <w:t>i</w:t>
      </w:r>
      <w:r w:rsidR="00BB2F5B" w:rsidRPr="002E258E">
        <w:rPr>
          <w:rFonts w:cstheme="minorHAnsi"/>
        </w:rPr>
        <w:t xml:space="preserve">l debito appare gestibile nel breve termine (con poche eccezioni) e i livelli sono sostenibili, soprattutto perché lo stock di debito dei </w:t>
      </w:r>
      <w:r w:rsidR="005743A7">
        <w:rPr>
          <w:rFonts w:cstheme="minorHAnsi"/>
        </w:rPr>
        <w:t>mercati emergenti</w:t>
      </w:r>
      <w:r w:rsidR="00BB2F5B" w:rsidRPr="002E258E">
        <w:rPr>
          <w:rFonts w:cstheme="minorHAnsi"/>
        </w:rPr>
        <w:t xml:space="preserve"> è principalmente denominato in valuta locale. </w:t>
      </w:r>
      <w:r w:rsidR="009A0D9D">
        <w:rPr>
          <w:rFonts w:cstheme="minorHAnsi"/>
        </w:rPr>
        <w:t>La bilancia dei conti con l’estero</w:t>
      </w:r>
      <w:r w:rsidR="00BB2F5B" w:rsidRPr="002E258E">
        <w:rPr>
          <w:rFonts w:cstheme="minorHAnsi"/>
        </w:rPr>
        <w:t xml:space="preserve"> </w:t>
      </w:r>
      <w:r w:rsidR="009A0D9D">
        <w:rPr>
          <w:rFonts w:cstheme="minorHAnsi"/>
        </w:rPr>
        <w:t>è</w:t>
      </w:r>
      <w:r w:rsidR="00BB2F5B" w:rsidRPr="002E258E">
        <w:rPr>
          <w:rFonts w:cstheme="minorHAnsi"/>
        </w:rPr>
        <w:t>, in generale, vicin</w:t>
      </w:r>
      <w:r w:rsidR="009A0D9D">
        <w:rPr>
          <w:rFonts w:cstheme="minorHAnsi"/>
        </w:rPr>
        <w:t xml:space="preserve">a </w:t>
      </w:r>
      <w:r w:rsidR="00BB2F5B" w:rsidRPr="002E258E">
        <w:rPr>
          <w:rFonts w:cstheme="minorHAnsi"/>
        </w:rPr>
        <w:t xml:space="preserve">all'equilibrio. Questo contesto si traduce in un </w:t>
      </w:r>
      <w:r w:rsidR="00BB2F5B" w:rsidRPr="00054ECD">
        <w:rPr>
          <w:rFonts w:cstheme="minorHAnsi"/>
          <w:b/>
          <w:bCs/>
        </w:rPr>
        <w:t>livello relativamente basso di potenziali default sovrani per quest'anno</w:t>
      </w:r>
      <w:r w:rsidR="00BB2F5B" w:rsidRPr="002E258E">
        <w:rPr>
          <w:rFonts w:cstheme="minorHAnsi"/>
        </w:rPr>
        <w:t xml:space="preserve">. </w:t>
      </w:r>
    </w:p>
    <w:p w14:paraId="153B2B32" w14:textId="77777777" w:rsidR="00054ECD" w:rsidRDefault="00054ECD" w:rsidP="00054ECD">
      <w:pPr>
        <w:spacing w:after="0" w:line="240" w:lineRule="auto"/>
        <w:contextualSpacing/>
        <w:rPr>
          <w:rFonts w:cstheme="minorHAnsi"/>
        </w:rPr>
      </w:pPr>
    </w:p>
    <w:p w14:paraId="5FE841F5" w14:textId="12F67D8C" w:rsidR="00BB2F5B" w:rsidRDefault="00BB2F5B" w:rsidP="00054ECD">
      <w:pPr>
        <w:spacing w:after="0" w:line="240" w:lineRule="auto"/>
        <w:contextualSpacing/>
        <w:rPr>
          <w:rFonts w:cstheme="minorHAnsi"/>
        </w:rPr>
      </w:pPr>
      <w:r w:rsidRPr="002E258E">
        <w:rPr>
          <w:rFonts w:cstheme="minorHAnsi"/>
        </w:rPr>
        <w:t xml:space="preserve">Di fatto, si prevede che le tendenze dei rating saranno positive per il 2024, e </w:t>
      </w:r>
      <w:r w:rsidRPr="00054ECD">
        <w:rPr>
          <w:rFonts w:cstheme="minorHAnsi"/>
          <w:b/>
          <w:bCs/>
        </w:rPr>
        <w:t>il numero di upgrade sarà superiore a quello dei downgrade</w:t>
      </w:r>
      <w:r w:rsidRPr="002E258E">
        <w:rPr>
          <w:rFonts w:cstheme="minorHAnsi"/>
        </w:rPr>
        <w:t xml:space="preserve">. Tra i Paesi con un </w:t>
      </w:r>
      <w:r w:rsidRPr="00054ECD">
        <w:rPr>
          <w:rFonts w:cstheme="minorHAnsi"/>
          <w:b/>
          <w:bCs/>
        </w:rPr>
        <w:t xml:space="preserve">potenziale di upgrade </w:t>
      </w:r>
      <w:r w:rsidRPr="005743A7">
        <w:rPr>
          <w:rFonts w:cstheme="minorHAnsi"/>
        </w:rPr>
        <w:t>figurano</w:t>
      </w:r>
      <w:r w:rsidRPr="00054ECD">
        <w:rPr>
          <w:rFonts w:cstheme="minorHAnsi"/>
          <w:b/>
          <w:bCs/>
        </w:rPr>
        <w:t xml:space="preserve"> Turchia, Azerbaijan, Brasile, Costa Rica, Croazia, Ghana, Indonesia, Giamaica, Kazakistan, Mongolia, Oman, Qatar, Sri Lanka, </w:t>
      </w:r>
      <w:r w:rsidRPr="00054ECD">
        <w:rPr>
          <w:rFonts w:cstheme="minorHAnsi"/>
          <w:b/>
          <w:bCs/>
        </w:rPr>
        <w:lastRenderedPageBreak/>
        <w:t>Vietnam e Zambia</w:t>
      </w:r>
      <w:r w:rsidRPr="002E258E">
        <w:rPr>
          <w:rFonts w:cstheme="minorHAnsi"/>
        </w:rPr>
        <w:t>. Alcuni di questi emittenti sovrani potrebbero essere promossi da livelli di rating molto bassi e alcuni potrebbero fuoriuscire dal default.</w:t>
      </w:r>
    </w:p>
    <w:p w14:paraId="34C58218" w14:textId="77777777" w:rsidR="00054ECD" w:rsidRPr="00054ECD" w:rsidRDefault="00054ECD" w:rsidP="00054ECD">
      <w:pPr>
        <w:spacing w:after="0" w:line="240" w:lineRule="auto"/>
        <w:contextualSpacing/>
        <w:rPr>
          <w:rFonts w:cstheme="minorHAnsi"/>
          <w:u w:val="single"/>
        </w:rPr>
      </w:pPr>
    </w:p>
    <w:p w14:paraId="30CB48A5" w14:textId="77777777" w:rsidR="00E63526" w:rsidRDefault="00BB2F5B" w:rsidP="00054ECD">
      <w:pPr>
        <w:spacing w:after="0" w:line="240" w:lineRule="auto"/>
        <w:contextualSpacing/>
        <w:rPr>
          <w:rFonts w:cstheme="minorHAnsi"/>
        </w:rPr>
      </w:pPr>
      <w:r w:rsidRPr="002E258E">
        <w:rPr>
          <w:rFonts w:cstheme="minorHAnsi"/>
        </w:rPr>
        <w:t>I fondamentali del credito societario dei mercati emergenti (leva finanziaria, copertura degli interessi, liquidità/debito, ecc.) hanno probabilmente raggiunto un picco nel 2022, per poi registrare un lieve peggioramento nel 2023, in particolare a fronte del rialzo dei tassi negli USA. I parametri creditizi saranno probabilmente sotto pressione per via del rallentamento della crescita globale</w:t>
      </w:r>
      <w:r w:rsidR="005743A7">
        <w:rPr>
          <w:rFonts w:cstheme="minorHAnsi"/>
        </w:rPr>
        <w:t xml:space="preserve">, </w:t>
      </w:r>
      <w:r w:rsidRPr="002E258E">
        <w:rPr>
          <w:rFonts w:cstheme="minorHAnsi"/>
        </w:rPr>
        <w:t xml:space="preserve">sospingendo al ribasso gli utili, ma il punto di partenza eccezionalmente forte per la maggior parte degli emittenti dovrebbe limitare la portata del peggioramento a livello fondamentale e ridurre la probabilità di una consistente impennata di downgrade e default. </w:t>
      </w:r>
    </w:p>
    <w:p w14:paraId="1C0F89EA" w14:textId="77777777" w:rsidR="00054ECD" w:rsidRDefault="00054ECD" w:rsidP="00054ECD">
      <w:pPr>
        <w:spacing w:after="0" w:line="240" w:lineRule="auto"/>
        <w:contextualSpacing/>
        <w:rPr>
          <w:rFonts w:cstheme="minorHAnsi"/>
        </w:rPr>
      </w:pPr>
    </w:p>
    <w:p w14:paraId="42F51A35" w14:textId="2D452B90" w:rsidR="005743A7" w:rsidRDefault="00BB2F5B" w:rsidP="00054ECD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2E258E">
        <w:rPr>
          <w:rFonts w:cstheme="minorHAnsi"/>
        </w:rPr>
        <w:t xml:space="preserve">Negli ultimi anni, il mercato ha registrato ampi downgrade, se non addirittura estesi cicli di default (Russia/Ucraina 2022, comparto immobiliare cinese 2021-2023, Argentina 2020). </w:t>
      </w:r>
      <w:r w:rsidRPr="00054ECD">
        <w:rPr>
          <w:rFonts w:cstheme="minorHAnsi"/>
          <w:b/>
          <w:bCs/>
        </w:rPr>
        <w:t>Dopo gli insuccessi negli ultimi anni, la composizione degli emittenti sul mercato appare attualmente più resiliente ai default e con un rating più conservativo</w:t>
      </w:r>
      <w:r w:rsidRPr="002E258E">
        <w:rPr>
          <w:rFonts w:cstheme="minorHAnsi"/>
        </w:rPr>
        <w:t>, se non addirittura sottovalutato, considerata la solidità fondamentale sopra descritta.</w:t>
      </w:r>
      <w:r w:rsidR="005743A7">
        <w:rPr>
          <w:rFonts w:cstheme="minorHAnsi"/>
        </w:rPr>
        <w:br/>
      </w:r>
      <w:r w:rsidR="002E258E" w:rsidRPr="00054ECD">
        <w:rPr>
          <w:rStyle w:val="Enfasigrassetto"/>
          <w:rFonts w:cstheme="minorHAnsi"/>
        </w:rPr>
        <w:br/>
      </w:r>
      <w:r w:rsidR="005743A7" w:rsidRPr="00BB036E">
        <w:rPr>
          <w:rFonts w:cstheme="minorHAnsi"/>
          <w:u w:val="single"/>
        </w:rPr>
        <w:t>Valutazioni interessanti</w:t>
      </w:r>
      <w:r w:rsidR="005743A7" w:rsidRPr="00BB036E">
        <w:rPr>
          <w:rFonts w:cstheme="minorHAnsi"/>
          <w:u w:val="single"/>
        </w:rPr>
        <w:br/>
      </w:r>
      <w:r w:rsidR="005743A7" w:rsidRPr="00BB036E">
        <w:rPr>
          <w:rFonts w:eastAsia="Times New Roman" w:cstheme="minorHAnsi"/>
          <w:kern w:val="0"/>
          <w14:ligatures w14:val="none"/>
        </w:rPr>
        <w:t xml:space="preserve">Per quanto riguarda la valuta locale, quando si riterrà che la Fed abbia raggiunto il suo tasso terminale e che l'economia statunitense inizierà a evidenziare una svolta, il dollaro USA dovrebbe indebolirsi leggermente. Inoltre, il tasso reale statunitense </w:t>
      </w:r>
      <w:r w:rsidR="005743A7" w:rsidRPr="00BB036E">
        <w:rPr>
          <w:rFonts w:cstheme="minorHAnsi"/>
        </w:rPr>
        <w:t>–</w:t>
      </w:r>
      <w:r w:rsidR="005743A7" w:rsidRPr="00BB036E">
        <w:rPr>
          <w:rFonts w:eastAsia="Times New Roman" w:cstheme="minorHAnsi"/>
          <w:kern w:val="0"/>
          <w14:ligatures w14:val="none"/>
        </w:rPr>
        <w:t xml:space="preserve"> che è vicino ai massimi dal 2002 </w:t>
      </w:r>
      <w:r w:rsidR="005743A7" w:rsidRPr="00BB036E">
        <w:rPr>
          <w:rFonts w:cstheme="minorHAnsi"/>
        </w:rPr>
        <w:t>–</w:t>
      </w:r>
      <w:r w:rsidR="005743A7" w:rsidRPr="00BB036E">
        <w:rPr>
          <w:rFonts w:eastAsia="Times New Roman" w:cstheme="minorHAnsi"/>
          <w:kern w:val="0"/>
          <w14:ligatures w14:val="none"/>
        </w:rPr>
        <w:t xml:space="preserve"> dovrebbe iniziare a calare, a vantaggio della valuta locale. Rileviamo </w:t>
      </w:r>
      <w:r w:rsidR="005743A7" w:rsidRPr="00054ECD">
        <w:rPr>
          <w:rFonts w:eastAsia="Times New Roman" w:cstheme="minorHAnsi"/>
          <w:b/>
          <w:bCs/>
          <w:kern w:val="0"/>
          <w14:ligatures w14:val="none"/>
        </w:rPr>
        <w:t>interessanti opportunità soprattutto nei mercati con tassi reali elevati e inflazione in calo, nonché in una selezione di mercati asiatici con un saldo dei pagamenti in miglioramento</w:t>
      </w:r>
      <w:r w:rsidR="005743A7" w:rsidRPr="00BB036E">
        <w:rPr>
          <w:rFonts w:eastAsia="Times New Roman" w:cstheme="minorHAnsi"/>
          <w:kern w:val="0"/>
          <w14:ligatures w14:val="none"/>
        </w:rPr>
        <w:t>.</w:t>
      </w:r>
    </w:p>
    <w:p w14:paraId="5F81FA6C" w14:textId="77777777" w:rsidR="00054ECD" w:rsidRPr="00BB036E" w:rsidRDefault="00054ECD" w:rsidP="00054ECD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729F4781" w14:textId="2C422210" w:rsidR="002E258E" w:rsidRPr="00054ECD" w:rsidRDefault="006C758D" w:rsidP="00054ECD">
      <w:pPr>
        <w:shd w:val="clear" w:color="auto" w:fill="FFFFFF"/>
        <w:spacing w:after="0" w:line="240" w:lineRule="auto"/>
        <w:contextualSpacing/>
        <w:textAlignment w:val="baseline"/>
        <w:rPr>
          <w:rStyle w:val="Enfasigrassetto"/>
          <w:rFonts w:cstheme="minorHAnsi"/>
        </w:rPr>
      </w:pPr>
      <w:r w:rsidRPr="00054ECD">
        <w:rPr>
          <w:rFonts w:eastAsia="Times New Roman" w:cstheme="minorHAnsi"/>
          <w:kern w:val="0"/>
          <w14:ligatures w14:val="none"/>
        </w:rPr>
        <w:t>Gli investimenti di c</w:t>
      </w:r>
      <w:r w:rsidR="009E29B8" w:rsidRPr="00054ECD">
        <w:rPr>
          <w:rFonts w:eastAsia="Times New Roman" w:cstheme="minorHAnsi"/>
          <w:kern w:val="0"/>
          <w14:ligatures w14:val="none"/>
        </w:rPr>
        <w:t>oloro che</w:t>
      </w:r>
      <w:r w:rsidRPr="00054ECD">
        <w:rPr>
          <w:rFonts w:eastAsia="Times New Roman" w:cstheme="minorHAnsi"/>
          <w:kern w:val="0"/>
          <w14:ligatures w14:val="none"/>
        </w:rPr>
        <w:t xml:space="preserve"> det</w:t>
      </w:r>
      <w:r w:rsidR="009E29B8" w:rsidRPr="00054ECD">
        <w:rPr>
          <w:rFonts w:eastAsia="Times New Roman" w:cstheme="minorHAnsi"/>
          <w:kern w:val="0"/>
          <w14:ligatures w14:val="none"/>
        </w:rPr>
        <w:t>engono</w:t>
      </w:r>
      <w:r w:rsidRPr="00054ECD">
        <w:rPr>
          <w:rFonts w:eastAsia="Times New Roman" w:cstheme="minorHAnsi"/>
          <w:kern w:val="0"/>
          <w14:ligatures w14:val="none"/>
        </w:rPr>
        <w:t xml:space="preserve"> debito dei </w:t>
      </w:r>
      <w:r w:rsidR="002E258E" w:rsidRPr="00054ECD">
        <w:rPr>
          <w:rFonts w:eastAsia="Times New Roman" w:cstheme="minorHAnsi"/>
          <w:kern w:val="0"/>
          <w14:ligatures w14:val="none"/>
        </w:rPr>
        <w:t>m</w:t>
      </w:r>
      <w:r w:rsidRPr="00054ECD">
        <w:rPr>
          <w:rFonts w:eastAsia="Times New Roman" w:cstheme="minorHAnsi"/>
          <w:kern w:val="0"/>
          <w14:ligatures w14:val="none"/>
        </w:rPr>
        <w:t xml:space="preserve">ercati </w:t>
      </w:r>
      <w:r w:rsidR="008927DC" w:rsidRPr="00054ECD">
        <w:rPr>
          <w:rFonts w:eastAsia="Times New Roman" w:cstheme="minorHAnsi"/>
          <w:kern w:val="0"/>
          <w14:ligatures w14:val="none"/>
        </w:rPr>
        <w:t>e</w:t>
      </w:r>
      <w:r w:rsidRPr="00054ECD">
        <w:rPr>
          <w:rFonts w:eastAsia="Times New Roman" w:cstheme="minorHAnsi"/>
          <w:kern w:val="0"/>
          <w14:ligatures w14:val="none"/>
        </w:rPr>
        <w:t>mergenti non si sono ancora ripres</w:t>
      </w:r>
      <w:r w:rsidR="009E29B8" w:rsidRPr="00054ECD">
        <w:rPr>
          <w:rFonts w:eastAsia="Times New Roman" w:cstheme="minorHAnsi"/>
          <w:kern w:val="0"/>
          <w14:ligatures w14:val="none"/>
        </w:rPr>
        <w:t>i</w:t>
      </w:r>
      <w:r w:rsidRPr="00054ECD">
        <w:rPr>
          <w:rFonts w:eastAsia="Times New Roman" w:cstheme="minorHAnsi"/>
          <w:kern w:val="0"/>
          <w14:ligatures w14:val="none"/>
        </w:rPr>
        <w:t xml:space="preserve"> del tutto dal calo causato dalla pandemia nel 2020</w:t>
      </w:r>
      <w:r w:rsidR="00881849" w:rsidRPr="00054ECD">
        <w:rPr>
          <w:rFonts w:eastAsia="Times New Roman" w:cstheme="minorHAnsi"/>
          <w:kern w:val="0"/>
          <w14:ligatures w14:val="none"/>
        </w:rPr>
        <w:t>. Ciò</w:t>
      </w:r>
      <w:r w:rsidRPr="00054ECD">
        <w:rPr>
          <w:rFonts w:eastAsia="Times New Roman" w:cstheme="minorHAnsi"/>
          <w:kern w:val="0"/>
          <w14:ligatures w14:val="none"/>
        </w:rPr>
        <w:t xml:space="preserve"> suggerisce che gli investitori sono ampiamente sottopesati. Prevediamo </w:t>
      </w:r>
      <w:r w:rsidRPr="00054ECD">
        <w:rPr>
          <w:rFonts w:eastAsia="Times New Roman" w:cstheme="minorHAnsi"/>
          <w:b/>
          <w:bCs/>
          <w:kern w:val="0"/>
          <w14:ligatures w14:val="none"/>
        </w:rPr>
        <w:t>che emergeranno flussi più significativi</w:t>
      </w:r>
      <w:r w:rsidR="00881849" w:rsidRPr="00054ECD">
        <w:rPr>
          <w:rFonts w:eastAsia="Times New Roman" w:cstheme="minorHAnsi"/>
          <w:b/>
          <w:bCs/>
          <w:kern w:val="0"/>
          <w14:ligatures w14:val="none"/>
        </w:rPr>
        <w:t>,</w:t>
      </w:r>
      <w:r w:rsidRPr="00054ECD">
        <w:rPr>
          <w:rFonts w:eastAsia="Times New Roman" w:cstheme="minorHAnsi"/>
          <w:b/>
          <w:bCs/>
          <w:kern w:val="0"/>
          <w14:ligatures w14:val="none"/>
        </w:rPr>
        <w:t xml:space="preserve"> sulla scia di una minore volatilità dei tassi e di un maggiore </w:t>
      </w:r>
      <w:r w:rsidR="00E972B7" w:rsidRPr="00054ECD">
        <w:rPr>
          <w:rFonts w:eastAsia="Times New Roman" w:cstheme="minorHAnsi"/>
          <w:b/>
          <w:bCs/>
          <w:kern w:val="0"/>
          <w14:ligatures w14:val="none"/>
        </w:rPr>
        <w:t>comfort</w:t>
      </w:r>
      <w:r w:rsidRPr="00054ECD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r w:rsidR="00E972B7" w:rsidRPr="00054ECD">
        <w:rPr>
          <w:rFonts w:eastAsia="Times New Roman" w:cstheme="minorHAnsi"/>
          <w:b/>
          <w:bCs/>
          <w:kern w:val="0"/>
          <w14:ligatures w14:val="none"/>
        </w:rPr>
        <w:t>attorno a</w:t>
      </w:r>
      <w:r w:rsidRPr="00054ECD">
        <w:rPr>
          <w:rFonts w:eastAsia="Times New Roman" w:cstheme="minorHAnsi"/>
          <w:b/>
          <w:bCs/>
          <w:kern w:val="0"/>
          <w14:ligatures w14:val="none"/>
        </w:rPr>
        <w:t xml:space="preserve"> un atterraggio morbido della crescita globale</w:t>
      </w:r>
      <w:r w:rsidRPr="00054ECD">
        <w:rPr>
          <w:rFonts w:eastAsia="Times New Roman" w:cstheme="minorHAnsi"/>
          <w:kern w:val="0"/>
          <w14:ligatures w14:val="none"/>
        </w:rPr>
        <w:t>.</w:t>
      </w:r>
      <w:r w:rsidR="002E258E" w:rsidRPr="00054ECD">
        <w:rPr>
          <w:rFonts w:eastAsia="Times New Roman" w:cstheme="minorHAnsi"/>
          <w:kern w:val="0"/>
          <w14:ligatures w14:val="none"/>
        </w:rPr>
        <w:t xml:space="preserve"> Tra i fattori di rischio da monitorare, </w:t>
      </w:r>
      <w:r w:rsidR="002E258E" w:rsidRPr="00054ECD">
        <w:rPr>
          <w:rStyle w:val="Enfasigrassetto"/>
          <w:rFonts w:eastAsiaTheme="majorEastAsia" w:cstheme="minorHAnsi"/>
          <w:b w:val="0"/>
          <w:bCs w:val="0"/>
        </w:rPr>
        <w:t>u</w:t>
      </w:r>
      <w:r w:rsidR="00171273" w:rsidRPr="00054ECD">
        <w:rPr>
          <w:rFonts w:cstheme="minorHAnsi"/>
        </w:rPr>
        <w:t xml:space="preserve">na </w:t>
      </w:r>
      <w:r w:rsidR="002E258E" w:rsidRPr="00054ECD">
        <w:rPr>
          <w:rFonts w:cstheme="minorHAnsi"/>
        </w:rPr>
        <w:t xml:space="preserve">nuova </w:t>
      </w:r>
      <w:r w:rsidR="00171273" w:rsidRPr="00054ECD">
        <w:rPr>
          <w:rFonts w:cstheme="minorHAnsi"/>
        </w:rPr>
        <w:t>accelerazione dell'inflazione</w:t>
      </w:r>
      <w:r w:rsidR="002E258E" w:rsidRPr="00054ECD">
        <w:rPr>
          <w:rFonts w:cstheme="minorHAnsi"/>
        </w:rPr>
        <w:t xml:space="preserve"> potrebbe indurre</w:t>
      </w:r>
      <w:r w:rsidR="00384256" w:rsidRPr="00054ECD">
        <w:rPr>
          <w:rFonts w:cstheme="minorHAnsi"/>
        </w:rPr>
        <w:t xml:space="preserve"> </w:t>
      </w:r>
      <w:r w:rsidR="00171273" w:rsidRPr="00054ECD">
        <w:rPr>
          <w:rFonts w:cstheme="minorHAnsi"/>
        </w:rPr>
        <w:t xml:space="preserve">la Fed </w:t>
      </w:r>
      <w:r w:rsidR="00384256" w:rsidRPr="00054ECD">
        <w:rPr>
          <w:rFonts w:cstheme="minorHAnsi"/>
        </w:rPr>
        <w:t>a</w:t>
      </w:r>
      <w:r w:rsidR="00171273" w:rsidRPr="00054ECD">
        <w:rPr>
          <w:rFonts w:cstheme="minorHAnsi"/>
        </w:rPr>
        <w:t xml:space="preserve"> mantenere un atteggiamento aggressivo</w:t>
      </w:r>
      <w:r w:rsidR="002E258E" w:rsidRPr="00054ECD">
        <w:rPr>
          <w:rFonts w:cstheme="minorHAnsi"/>
        </w:rPr>
        <w:t xml:space="preserve"> e</w:t>
      </w:r>
      <w:r w:rsidR="00171273" w:rsidRPr="00054ECD">
        <w:rPr>
          <w:rFonts w:cstheme="minorHAnsi"/>
        </w:rPr>
        <w:t>, pur non essendo il nostro scenario di base, potrebbe innescare un ulteriore ribasso della crescita globale</w:t>
      </w:r>
      <w:r w:rsidR="006A61FC" w:rsidRPr="00054ECD">
        <w:rPr>
          <w:rFonts w:cstheme="minorHAnsi"/>
        </w:rPr>
        <w:t>.</w:t>
      </w:r>
    </w:p>
    <w:p w14:paraId="561BA829" w14:textId="77777777" w:rsidR="002E258E" w:rsidRPr="00054ECD" w:rsidRDefault="002E258E" w:rsidP="00054ECD">
      <w:p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</w:p>
    <w:p w14:paraId="05AD5510" w14:textId="24749D55" w:rsidR="0053621F" w:rsidRPr="00054ECD" w:rsidRDefault="00F35052" w:rsidP="00054ECD">
      <w:p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054ECD">
        <w:rPr>
          <w:rFonts w:cstheme="minorHAnsi"/>
        </w:rPr>
        <w:t xml:space="preserve">All'inizio del 2024 non mancano i </w:t>
      </w:r>
      <w:r w:rsidRPr="00054ECD">
        <w:rPr>
          <w:rFonts w:cstheme="minorHAnsi"/>
          <w:b/>
          <w:bCs/>
        </w:rPr>
        <w:t>rischi geopolitici</w:t>
      </w:r>
      <w:r w:rsidRPr="00054ECD">
        <w:rPr>
          <w:rFonts w:cstheme="minorHAnsi"/>
        </w:rPr>
        <w:t xml:space="preserve">. Nel nostro scenario di base, il conflitto in Medio Oriente </w:t>
      </w:r>
      <w:r w:rsidR="00001E42" w:rsidRPr="00054ECD">
        <w:rPr>
          <w:rFonts w:cstheme="minorHAnsi"/>
        </w:rPr>
        <w:t>proseguirà</w:t>
      </w:r>
      <w:r w:rsidRPr="00054ECD">
        <w:rPr>
          <w:rFonts w:cstheme="minorHAnsi"/>
        </w:rPr>
        <w:t xml:space="preserve"> almeno </w:t>
      </w:r>
      <w:r w:rsidR="00001E42" w:rsidRPr="00054ECD">
        <w:rPr>
          <w:rFonts w:cstheme="minorHAnsi"/>
        </w:rPr>
        <w:t xml:space="preserve">per </w:t>
      </w:r>
      <w:r w:rsidRPr="00054ECD">
        <w:rPr>
          <w:rFonts w:cstheme="minorHAnsi"/>
        </w:rPr>
        <w:t>qualche mese, pur rimanendo contenuto. Tuttavia, siamo consapevoli delle recenti escalation e, ne</w:t>
      </w:r>
      <w:r w:rsidR="007A60C6" w:rsidRPr="00054ECD">
        <w:rPr>
          <w:rFonts w:cstheme="minorHAnsi"/>
        </w:rPr>
        <w:t>llo scenario peggiore</w:t>
      </w:r>
      <w:r w:rsidRPr="00054ECD">
        <w:rPr>
          <w:rFonts w:cstheme="minorHAnsi"/>
        </w:rPr>
        <w:t xml:space="preserve">, Iran e </w:t>
      </w:r>
      <w:r w:rsidR="007A60C6" w:rsidRPr="00054ECD">
        <w:rPr>
          <w:rFonts w:cstheme="minorHAnsi"/>
        </w:rPr>
        <w:t>USA</w:t>
      </w:r>
      <w:r w:rsidRPr="00054ECD">
        <w:rPr>
          <w:rFonts w:cstheme="minorHAnsi"/>
        </w:rPr>
        <w:t xml:space="preserve"> potrebbero </w:t>
      </w:r>
      <w:r w:rsidR="004F5737" w:rsidRPr="00054ECD">
        <w:rPr>
          <w:rFonts w:cstheme="minorHAnsi"/>
        </w:rPr>
        <w:t xml:space="preserve">entrare </w:t>
      </w:r>
      <w:r w:rsidRPr="00054ECD">
        <w:rPr>
          <w:rFonts w:cstheme="minorHAnsi"/>
        </w:rPr>
        <w:t xml:space="preserve">nel conflitto. </w:t>
      </w:r>
      <w:r w:rsidRPr="00054ECD">
        <w:rPr>
          <w:rFonts w:cstheme="minorHAnsi"/>
          <w:b/>
          <w:bCs/>
        </w:rPr>
        <w:t>La guerra tra Russia e Ucraina</w:t>
      </w:r>
      <w:r w:rsidRPr="00054ECD">
        <w:rPr>
          <w:rFonts w:cstheme="minorHAnsi"/>
        </w:rPr>
        <w:t xml:space="preserve"> è diventata nel tempo un fattore meno rilevante per il mercato, ma il calo percepito del sostegno all'Ucraina comporta dei rischi. Anche </w:t>
      </w:r>
      <w:r w:rsidRPr="00054ECD">
        <w:rPr>
          <w:rFonts w:cstheme="minorHAnsi"/>
          <w:b/>
          <w:bCs/>
        </w:rPr>
        <w:t>le tensioni tra Cina e Taiwan</w:t>
      </w:r>
      <w:r w:rsidR="005743A7">
        <w:rPr>
          <w:rFonts w:cstheme="minorHAnsi"/>
        </w:rPr>
        <w:t xml:space="preserve"> </w:t>
      </w:r>
      <w:r w:rsidRPr="00054ECD">
        <w:rPr>
          <w:rFonts w:cstheme="minorHAnsi"/>
        </w:rPr>
        <w:t>richiederanno un attento monitoraggio.</w:t>
      </w:r>
      <w:r w:rsidR="002E258E" w:rsidRPr="00054ECD">
        <w:rPr>
          <w:rStyle w:val="Enfasigrassetto"/>
          <w:rFonts w:cstheme="minorHAnsi"/>
        </w:rPr>
        <w:t xml:space="preserve"> </w:t>
      </w:r>
      <w:r w:rsidR="002E258E" w:rsidRPr="00054ECD">
        <w:rPr>
          <w:rStyle w:val="Enfasigrassetto"/>
          <w:rFonts w:cstheme="minorHAnsi"/>
          <w:b w:val="0"/>
          <w:bCs w:val="0"/>
        </w:rPr>
        <w:t>L</w:t>
      </w:r>
      <w:r w:rsidR="0053621F" w:rsidRPr="00054ECD">
        <w:rPr>
          <w:rFonts w:cstheme="minorHAnsi"/>
        </w:rPr>
        <w:t xml:space="preserve">'esito delle elezioni statunitensi comporta rischi sia positivi </w:t>
      </w:r>
      <w:r w:rsidR="00B26F2E">
        <w:rPr>
          <w:rFonts w:cstheme="minorHAnsi"/>
        </w:rPr>
        <w:t>sia</w:t>
      </w:r>
      <w:r w:rsidR="00B26F2E" w:rsidRPr="00054ECD">
        <w:rPr>
          <w:rFonts w:cstheme="minorHAnsi"/>
        </w:rPr>
        <w:t xml:space="preserve"> </w:t>
      </w:r>
      <w:r w:rsidR="0053621F" w:rsidRPr="00054ECD">
        <w:rPr>
          <w:rFonts w:cstheme="minorHAnsi"/>
        </w:rPr>
        <w:t>negativi per la politica, compresi i rapporti con gli alleati della N</w:t>
      </w:r>
      <w:r w:rsidR="002E258E" w:rsidRPr="00054ECD">
        <w:rPr>
          <w:rFonts w:cstheme="minorHAnsi"/>
        </w:rPr>
        <w:t>ato</w:t>
      </w:r>
      <w:r w:rsidR="0053621F" w:rsidRPr="00054ECD">
        <w:rPr>
          <w:rFonts w:cstheme="minorHAnsi"/>
        </w:rPr>
        <w:t xml:space="preserve"> e </w:t>
      </w:r>
      <w:r w:rsidR="00B111F9" w:rsidRPr="00054ECD">
        <w:rPr>
          <w:rFonts w:cstheme="minorHAnsi"/>
        </w:rPr>
        <w:t>gli scambi commerciali</w:t>
      </w:r>
      <w:r w:rsidR="0053621F" w:rsidRPr="00054ECD">
        <w:rPr>
          <w:rFonts w:cstheme="minorHAnsi"/>
        </w:rPr>
        <w:t>.</w:t>
      </w:r>
    </w:p>
    <w:p w14:paraId="473B042D" w14:textId="77777777" w:rsidR="006A61FC" w:rsidRPr="006D0D31" w:rsidRDefault="006A61FC" w:rsidP="00054ECD">
      <w:pPr>
        <w:pStyle w:val="Titolo4"/>
        <w:shd w:val="clear" w:color="auto" w:fill="FFFFFF"/>
        <w:spacing w:before="0" w:beforeAutospacing="0" w:after="0" w:afterAutospacing="0"/>
        <w:contextualSpacing/>
        <w:jc w:val="center"/>
        <w:rPr>
          <w:rFonts w:ascii="Source Sans Pro" w:hAnsi="Source Sans Pro"/>
          <w:b w:val="0"/>
          <w:bCs w:val="0"/>
          <w:color w:val="384048"/>
          <w:sz w:val="27"/>
          <w:szCs w:val="27"/>
        </w:rPr>
      </w:pPr>
    </w:p>
    <w:p w14:paraId="1E36C906" w14:textId="77777777" w:rsidR="006A61FC" w:rsidRPr="006D0D31" w:rsidRDefault="006A61FC" w:rsidP="00054ECD">
      <w:pPr>
        <w:spacing w:after="0" w:line="240" w:lineRule="auto"/>
        <w:contextualSpacing/>
      </w:pPr>
    </w:p>
    <w:p w14:paraId="00DEC474" w14:textId="77777777" w:rsidR="006A61FC" w:rsidRPr="006D0D31" w:rsidRDefault="006A61FC" w:rsidP="00054ECD">
      <w:pPr>
        <w:spacing w:after="0" w:line="240" w:lineRule="auto"/>
        <w:contextualSpacing/>
      </w:pPr>
    </w:p>
    <w:sectPr w:rsidR="006A61FC" w:rsidRPr="006D0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E5AF1"/>
    <w:multiLevelType w:val="multilevel"/>
    <w:tmpl w:val="4E5E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55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FC"/>
    <w:rsid w:val="00001E42"/>
    <w:rsid w:val="00054ECD"/>
    <w:rsid w:val="00097EBA"/>
    <w:rsid w:val="000A2A14"/>
    <w:rsid w:val="000A7A3C"/>
    <w:rsid w:val="000F0D71"/>
    <w:rsid w:val="000F6677"/>
    <w:rsid w:val="0010531E"/>
    <w:rsid w:val="0011537E"/>
    <w:rsid w:val="00123F0B"/>
    <w:rsid w:val="00170FCA"/>
    <w:rsid w:val="00171273"/>
    <w:rsid w:val="001968E7"/>
    <w:rsid w:val="001B20CD"/>
    <w:rsid w:val="001E597A"/>
    <w:rsid w:val="001F1C24"/>
    <w:rsid w:val="00240C98"/>
    <w:rsid w:val="00281AFD"/>
    <w:rsid w:val="002E258E"/>
    <w:rsid w:val="00320B32"/>
    <w:rsid w:val="003257D2"/>
    <w:rsid w:val="00331FEA"/>
    <w:rsid w:val="00337B20"/>
    <w:rsid w:val="0037752E"/>
    <w:rsid w:val="00384256"/>
    <w:rsid w:val="003A44BE"/>
    <w:rsid w:val="003B47F7"/>
    <w:rsid w:val="003B51B6"/>
    <w:rsid w:val="003C658A"/>
    <w:rsid w:val="003E7EE1"/>
    <w:rsid w:val="003F56A5"/>
    <w:rsid w:val="00477641"/>
    <w:rsid w:val="004961C6"/>
    <w:rsid w:val="004A5812"/>
    <w:rsid w:val="004B51E6"/>
    <w:rsid w:val="004C3ECD"/>
    <w:rsid w:val="004C5101"/>
    <w:rsid w:val="004E28CD"/>
    <w:rsid w:val="004E2A44"/>
    <w:rsid w:val="004F5737"/>
    <w:rsid w:val="005000AF"/>
    <w:rsid w:val="00500EBA"/>
    <w:rsid w:val="0050280F"/>
    <w:rsid w:val="00514D42"/>
    <w:rsid w:val="0053621F"/>
    <w:rsid w:val="00554369"/>
    <w:rsid w:val="00557540"/>
    <w:rsid w:val="005743A7"/>
    <w:rsid w:val="005B0F9B"/>
    <w:rsid w:val="005C7171"/>
    <w:rsid w:val="005D5F6A"/>
    <w:rsid w:val="00603E99"/>
    <w:rsid w:val="0062654E"/>
    <w:rsid w:val="006A61FC"/>
    <w:rsid w:val="006B1FF7"/>
    <w:rsid w:val="006C17B4"/>
    <w:rsid w:val="006C458D"/>
    <w:rsid w:val="006C52A8"/>
    <w:rsid w:val="006C758D"/>
    <w:rsid w:val="006D0D31"/>
    <w:rsid w:val="006D469C"/>
    <w:rsid w:val="006D53E0"/>
    <w:rsid w:val="006F6455"/>
    <w:rsid w:val="00710E42"/>
    <w:rsid w:val="00726A99"/>
    <w:rsid w:val="00760E99"/>
    <w:rsid w:val="007A2BF8"/>
    <w:rsid w:val="007A60C6"/>
    <w:rsid w:val="007A7B30"/>
    <w:rsid w:val="007B6E99"/>
    <w:rsid w:val="007E23ED"/>
    <w:rsid w:val="0081530A"/>
    <w:rsid w:val="00821BE8"/>
    <w:rsid w:val="00821F2F"/>
    <w:rsid w:val="00833BE3"/>
    <w:rsid w:val="00881849"/>
    <w:rsid w:val="0088416A"/>
    <w:rsid w:val="008927DC"/>
    <w:rsid w:val="008A2D01"/>
    <w:rsid w:val="008C13F8"/>
    <w:rsid w:val="008E05FB"/>
    <w:rsid w:val="00906E32"/>
    <w:rsid w:val="00912E15"/>
    <w:rsid w:val="00932B3D"/>
    <w:rsid w:val="00986922"/>
    <w:rsid w:val="009A0D9D"/>
    <w:rsid w:val="009B64DD"/>
    <w:rsid w:val="009C5035"/>
    <w:rsid w:val="009C6D66"/>
    <w:rsid w:val="009D0567"/>
    <w:rsid w:val="009E29B8"/>
    <w:rsid w:val="009F0EB4"/>
    <w:rsid w:val="009F53C4"/>
    <w:rsid w:val="009F685A"/>
    <w:rsid w:val="00A02B4A"/>
    <w:rsid w:val="00A07937"/>
    <w:rsid w:val="00AB2F6C"/>
    <w:rsid w:val="00AE5D51"/>
    <w:rsid w:val="00AE68B0"/>
    <w:rsid w:val="00AF105D"/>
    <w:rsid w:val="00B021CB"/>
    <w:rsid w:val="00B111F9"/>
    <w:rsid w:val="00B23492"/>
    <w:rsid w:val="00B26F2E"/>
    <w:rsid w:val="00B670ED"/>
    <w:rsid w:val="00B74042"/>
    <w:rsid w:val="00B93AD8"/>
    <w:rsid w:val="00BA7359"/>
    <w:rsid w:val="00BB2F5B"/>
    <w:rsid w:val="00BB6E39"/>
    <w:rsid w:val="00BE29AF"/>
    <w:rsid w:val="00BF3415"/>
    <w:rsid w:val="00C041EE"/>
    <w:rsid w:val="00C127D8"/>
    <w:rsid w:val="00C143FE"/>
    <w:rsid w:val="00C64C81"/>
    <w:rsid w:val="00CC3121"/>
    <w:rsid w:val="00CC6F60"/>
    <w:rsid w:val="00D03A5C"/>
    <w:rsid w:val="00D165A6"/>
    <w:rsid w:val="00D2428B"/>
    <w:rsid w:val="00D30C18"/>
    <w:rsid w:val="00D3294B"/>
    <w:rsid w:val="00D37735"/>
    <w:rsid w:val="00D45C1A"/>
    <w:rsid w:val="00D95D32"/>
    <w:rsid w:val="00D968EB"/>
    <w:rsid w:val="00DC6C8A"/>
    <w:rsid w:val="00DD0F25"/>
    <w:rsid w:val="00DE1B86"/>
    <w:rsid w:val="00DE26BF"/>
    <w:rsid w:val="00DE64A4"/>
    <w:rsid w:val="00DF21AC"/>
    <w:rsid w:val="00E17F21"/>
    <w:rsid w:val="00E5157C"/>
    <w:rsid w:val="00E63526"/>
    <w:rsid w:val="00E647EC"/>
    <w:rsid w:val="00E965B2"/>
    <w:rsid w:val="00E972B7"/>
    <w:rsid w:val="00EB28A1"/>
    <w:rsid w:val="00EC4521"/>
    <w:rsid w:val="00EE4C8D"/>
    <w:rsid w:val="00F325E7"/>
    <w:rsid w:val="00F35052"/>
    <w:rsid w:val="00FA2AE8"/>
    <w:rsid w:val="00FD20CB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D2CD"/>
  <w15:chartTrackingRefBased/>
  <w15:docId w15:val="{2BE1AF72-F585-4436-9832-1B1DB7E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6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6A6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6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A61F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6A61FC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61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A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61F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o-bottom-margin">
    <w:name w:val="no-bottom-margin"/>
    <w:basedOn w:val="Normale"/>
    <w:rsid w:val="006A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053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53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53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53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531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F5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Diana Ferla</cp:lastModifiedBy>
  <cp:revision>7</cp:revision>
  <dcterms:created xsi:type="dcterms:W3CDTF">2024-01-26T09:16:00Z</dcterms:created>
  <dcterms:modified xsi:type="dcterms:W3CDTF">2024-01-26T13:56:00Z</dcterms:modified>
</cp:coreProperties>
</file>