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1F6B6" w14:textId="5214A96A" w:rsidR="00977AC9" w:rsidRPr="00801874" w:rsidRDefault="00977AC9" w:rsidP="00977AC9">
      <w:pPr>
        <w:rPr>
          <w:b/>
          <w:bCs/>
        </w:rPr>
      </w:pPr>
      <w:r w:rsidRPr="00801874">
        <w:rPr>
          <w:b/>
          <w:bCs/>
        </w:rPr>
        <w:t>T.</w:t>
      </w:r>
      <w:r w:rsidR="00801874" w:rsidRPr="00171FF8">
        <w:rPr>
          <w:b/>
          <w:bCs/>
        </w:rPr>
        <w:t xml:space="preserve"> </w:t>
      </w:r>
      <w:r w:rsidRPr="00801874">
        <w:rPr>
          <w:b/>
          <w:bCs/>
        </w:rPr>
        <w:t>Rowe</w:t>
      </w:r>
      <w:r w:rsidR="00801874" w:rsidRPr="00801874">
        <w:rPr>
          <w:b/>
          <w:bCs/>
        </w:rPr>
        <w:t xml:space="preserve"> </w:t>
      </w:r>
      <w:r w:rsidRPr="00801874">
        <w:rPr>
          <w:b/>
          <w:bCs/>
        </w:rPr>
        <w:t>Price</w:t>
      </w:r>
      <w:r w:rsidR="00801874" w:rsidRPr="00801874">
        <w:rPr>
          <w:b/>
          <w:bCs/>
        </w:rPr>
        <w:t xml:space="preserve">: </w:t>
      </w:r>
      <w:r w:rsidR="00A14B7F">
        <w:rPr>
          <w:b/>
          <w:bCs/>
        </w:rPr>
        <w:t>Obbligazioni h</w:t>
      </w:r>
      <w:r w:rsidR="00801874" w:rsidRPr="00801874">
        <w:rPr>
          <w:b/>
          <w:bCs/>
        </w:rPr>
        <w:t>igh y</w:t>
      </w:r>
      <w:r w:rsidR="00801874" w:rsidRPr="0045055A">
        <w:rPr>
          <w:b/>
          <w:bCs/>
        </w:rPr>
        <w:t>ield,</w:t>
      </w:r>
      <w:r w:rsidR="00A14B7F">
        <w:rPr>
          <w:b/>
          <w:bCs/>
        </w:rPr>
        <w:t xml:space="preserve"> sfruttare le inefficienze del mercato con la gestione attiva</w:t>
      </w:r>
    </w:p>
    <w:p w14:paraId="72E2B183" w14:textId="6933FACB" w:rsidR="00801874" w:rsidRPr="0045055A" w:rsidRDefault="00801874" w:rsidP="00801874">
      <w:r w:rsidRPr="0045055A">
        <w:t xml:space="preserve">A cura di </w:t>
      </w:r>
      <w:r w:rsidRPr="0045055A">
        <w:rPr>
          <w:b/>
          <w:bCs/>
        </w:rPr>
        <w:t>Kevin Loome</w:t>
      </w:r>
      <w:r w:rsidR="000A73EE" w:rsidRPr="0045055A">
        <w:rPr>
          <w:b/>
          <w:bCs/>
        </w:rPr>
        <w:t>,</w:t>
      </w:r>
      <w:r w:rsidRPr="0045055A">
        <w:rPr>
          <w:b/>
          <w:bCs/>
        </w:rPr>
        <w:t xml:space="preserve"> Portfolio Manager, U.S. High Yield Strategy</w:t>
      </w:r>
      <w:r w:rsidRPr="0045055A">
        <w:t xml:space="preserve">, </w:t>
      </w:r>
      <w:r w:rsidR="000A73EE" w:rsidRPr="0045055A">
        <w:t>e</w:t>
      </w:r>
      <w:r w:rsidR="000A73EE" w:rsidRPr="0045055A">
        <w:rPr>
          <w:b/>
          <w:bCs/>
        </w:rPr>
        <w:t xml:space="preserve"> </w:t>
      </w:r>
      <w:r w:rsidRPr="0045055A">
        <w:rPr>
          <w:b/>
          <w:bCs/>
        </w:rPr>
        <w:t>Ashley Wiersma, Portfolio Specialist, T. Rowe Price</w:t>
      </w:r>
    </w:p>
    <w:p w14:paraId="69BD9015" w14:textId="70130821" w:rsidR="004D60A7" w:rsidRPr="00DE585C" w:rsidRDefault="0060304C" w:rsidP="00977AC9">
      <w:pPr>
        <w:rPr>
          <w:rFonts w:ascii="Verdana" w:hAnsi="Verdana"/>
          <w:color w:val="3B3B3B"/>
          <w:shd w:val="clear" w:color="auto" w:fill="FFFFFF"/>
        </w:rPr>
      </w:pPr>
      <w:r w:rsidRPr="0045055A">
        <w:t>Esist</w:t>
      </w:r>
      <w:r>
        <w:t>ono molte valide ragioni per</w:t>
      </w:r>
      <w:r w:rsidRPr="0045055A">
        <w:t xml:space="preserve"> </w:t>
      </w:r>
      <w:r>
        <w:t xml:space="preserve">sostenere la gestione </w:t>
      </w:r>
      <w:r w:rsidRPr="0045055A">
        <w:t>attiv</w:t>
      </w:r>
      <w:r>
        <w:t>a</w:t>
      </w:r>
      <w:r w:rsidRPr="0045055A">
        <w:t xml:space="preserve"> delle obbligazioni</w:t>
      </w:r>
      <w:r>
        <w:t xml:space="preserve"> </w:t>
      </w:r>
      <w:r w:rsidRPr="0045055A">
        <w:t>ad</w:t>
      </w:r>
      <w:r>
        <w:t xml:space="preserve"> alto rendimento. A</w:t>
      </w:r>
      <w:r w:rsidRPr="0045055A">
        <w:t xml:space="preserve"> nostro avviso, </w:t>
      </w:r>
      <w:r>
        <w:t>l’</w:t>
      </w:r>
      <w:r w:rsidRPr="0045055A">
        <w:t>approccio attivo offre diversi</w:t>
      </w:r>
      <w:r>
        <w:t xml:space="preserve"> e</w:t>
      </w:r>
      <w:r w:rsidRPr="0045055A">
        <w:t xml:space="preserve"> importanti</w:t>
      </w:r>
      <w:r>
        <w:t xml:space="preserve"> </w:t>
      </w:r>
      <w:r w:rsidRPr="0045055A">
        <w:t>vantaggi.</w:t>
      </w:r>
      <w:r>
        <w:t xml:space="preserve"> </w:t>
      </w:r>
      <w:r w:rsidR="004D60A7">
        <w:t>Tra i</w:t>
      </w:r>
      <w:r>
        <w:t xml:space="preserve"> tanti</w:t>
      </w:r>
      <w:r w:rsidR="004D60A7">
        <w:t>,</w:t>
      </w:r>
      <w:r w:rsidR="005302D9">
        <w:t xml:space="preserve"> </w:t>
      </w:r>
      <w:r w:rsidR="00476B95" w:rsidRPr="00E66111">
        <w:t>l'analisi fondamentale</w:t>
      </w:r>
      <w:r w:rsidR="004D60A7">
        <w:t xml:space="preserve"> e</w:t>
      </w:r>
      <w:r w:rsidR="00476B95" w:rsidRPr="00E66111">
        <w:t xml:space="preserve"> la selezione dei titoli nell'intero universo high yield, nonché la capacità di riposizionare strategicamente </w:t>
      </w:r>
      <w:r w:rsidR="00E66111">
        <w:t>un</w:t>
      </w:r>
      <w:r w:rsidR="00476B95" w:rsidRPr="00E66111">
        <w:t xml:space="preserve"> portafoglio per trarre vantaggio dalle tendenze macro o per </w:t>
      </w:r>
      <w:r w:rsidR="00E66111">
        <w:t xml:space="preserve">sfruttare </w:t>
      </w:r>
      <w:r w:rsidR="00476B95" w:rsidRPr="00E66111">
        <w:t xml:space="preserve">le opportunità </w:t>
      </w:r>
      <w:r>
        <w:t>di prezzo</w:t>
      </w:r>
      <w:r w:rsidR="00476B95" w:rsidRPr="00E66111">
        <w:t xml:space="preserve">. </w:t>
      </w:r>
      <w:r w:rsidR="00DE585C" w:rsidRPr="00DE585C">
        <w:t>L'investimento passivo in titoli high yield</w:t>
      </w:r>
      <w:r w:rsidR="004D60A7">
        <w:t>, invece,</w:t>
      </w:r>
      <w:r w:rsidR="00DE585C" w:rsidRPr="00DE585C">
        <w:t xml:space="preserve"> </w:t>
      </w:r>
      <w:r w:rsidR="000F3A29">
        <w:t>può presentare</w:t>
      </w:r>
      <w:r w:rsidR="004D60A7">
        <w:t xml:space="preserve"> </w:t>
      </w:r>
      <w:r w:rsidR="00DE585C" w:rsidRPr="00DE585C">
        <w:t>degli svantaggi</w:t>
      </w:r>
      <w:r w:rsidR="004D60A7">
        <w:t>:</w:t>
      </w:r>
      <w:r w:rsidR="00DE585C" w:rsidRPr="00DE585C">
        <w:t xml:space="preserve"> </w:t>
      </w:r>
      <w:r w:rsidR="004D60A7">
        <w:t>r</w:t>
      </w:r>
      <w:r w:rsidR="00DE585C" w:rsidRPr="00DE585C">
        <w:t xml:space="preserve">ispetto alle azioni, i mercati obbligazionari presentano complessità intrinseche che rendono difficile e costoso replicare la composizione di un indice o i suoi </w:t>
      </w:r>
      <w:r w:rsidR="00DE585C" w:rsidRPr="00E37C82">
        <w:t>rendimenti</w:t>
      </w:r>
      <w:r w:rsidR="00801874">
        <w:t>.</w:t>
      </w:r>
    </w:p>
    <w:p w14:paraId="6FBE9641" w14:textId="336D74AB" w:rsidR="00216FC8" w:rsidRDefault="004D60A7" w:rsidP="00977AC9">
      <w:r w:rsidRPr="0045055A">
        <w:rPr>
          <w:rFonts w:eastAsiaTheme="majorEastAsia" w:cstheme="minorHAnsi"/>
          <w:color w:val="1F3763" w:themeColor="accent1" w:themeShade="7F"/>
          <w:u w:val="single"/>
        </w:rPr>
        <w:t>Indici difficili da replicare</w:t>
      </w:r>
      <w:r w:rsidRPr="0045055A">
        <w:rPr>
          <w:rFonts w:eastAsiaTheme="majorEastAsia" w:cstheme="minorHAnsi"/>
          <w:color w:val="1F3763" w:themeColor="accent1" w:themeShade="7F"/>
          <w:u w:val="single"/>
        </w:rPr>
        <w:br/>
      </w:r>
      <w:r w:rsidR="00FF3BCC" w:rsidRPr="00FF3BCC">
        <w:t xml:space="preserve">A differenza delle azioni, gli emittenti obbligazionari hanno in genere più emissioni sul mercato. </w:t>
      </w:r>
      <w:r w:rsidR="00FF3BCC" w:rsidRPr="00E967EE">
        <w:t>Mentre l'</w:t>
      </w:r>
      <w:r w:rsidR="00E37C82">
        <w:t>I</w:t>
      </w:r>
      <w:r w:rsidR="00FF3BCC" w:rsidRPr="00E967EE">
        <w:t>ndice S&amp;P 500 ha circa 500 componenti, l'</w:t>
      </w:r>
      <w:r w:rsidR="00E37C82">
        <w:t xml:space="preserve">Indice </w:t>
      </w:r>
      <w:r w:rsidR="00FF3BCC" w:rsidRPr="00E967EE">
        <w:t xml:space="preserve">ICE BofA U.S. High Yield </w:t>
      </w:r>
      <w:proofErr w:type="spellStart"/>
      <w:r w:rsidR="00FF3BCC" w:rsidRPr="00E967EE">
        <w:t>Constrained</w:t>
      </w:r>
      <w:proofErr w:type="spellEnd"/>
      <w:r w:rsidR="00FF3BCC" w:rsidRPr="00E967EE">
        <w:t xml:space="preserve"> è composto da 1.872 emissioni di circa 886 </w:t>
      </w:r>
      <w:r w:rsidR="00FF3BCC" w:rsidRPr="001923F1">
        <w:t>emittenti.</w:t>
      </w:r>
      <w:r w:rsidR="00E967EE" w:rsidRPr="00E967EE">
        <w:t xml:space="preserve"> </w:t>
      </w:r>
      <w:r w:rsidR="00B152CA" w:rsidRPr="00B152CA">
        <w:t xml:space="preserve">Di conseguenza, le decisioni </w:t>
      </w:r>
      <w:r w:rsidR="00B152CA">
        <w:t xml:space="preserve">in materia </w:t>
      </w:r>
      <w:r w:rsidR="00B152CA" w:rsidRPr="00B152CA">
        <w:t>d</w:t>
      </w:r>
      <w:r w:rsidR="00B152CA">
        <w:t>’</w:t>
      </w:r>
      <w:r w:rsidR="00B152CA" w:rsidRPr="00B152CA">
        <w:t>investimento non si riducono solo a quali società possedere, ma anche a quali temi specifici</w:t>
      </w:r>
      <w:r w:rsidR="00977AC9" w:rsidRPr="00B152CA">
        <w:t xml:space="preserve">. </w:t>
      </w:r>
      <w:r w:rsidR="00F9518B" w:rsidRPr="0045055A">
        <w:rPr>
          <w:b/>
          <w:bCs/>
        </w:rPr>
        <w:t xml:space="preserve">Le negoziazioni di titoli a reddito fisso </w:t>
      </w:r>
      <w:r w:rsidR="003B706A" w:rsidRPr="0045055A">
        <w:rPr>
          <w:b/>
          <w:bCs/>
        </w:rPr>
        <w:t>high yield</w:t>
      </w:r>
      <w:r w:rsidR="00F9518B" w:rsidRPr="0045055A">
        <w:rPr>
          <w:b/>
          <w:bCs/>
        </w:rPr>
        <w:t xml:space="preserve"> continuano a essere condotte in larga misura fuori </w:t>
      </w:r>
      <w:r w:rsidR="005302D9" w:rsidRPr="0045055A">
        <w:rPr>
          <w:b/>
          <w:bCs/>
        </w:rPr>
        <w:t>B</w:t>
      </w:r>
      <w:r w:rsidR="00F9518B" w:rsidRPr="0045055A">
        <w:rPr>
          <w:b/>
          <w:bCs/>
        </w:rPr>
        <w:t>orsa</w:t>
      </w:r>
      <w:r w:rsidR="00F9518B" w:rsidRPr="003B706A">
        <w:t xml:space="preserve"> piuttosto che in </w:t>
      </w:r>
      <w:r w:rsidR="005302D9">
        <w:t>B</w:t>
      </w:r>
      <w:r w:rsidR="00F9518B" w:rsidRPr="003B706A">
        <w:t xml:space="preserve">orsa come le azioni. Di conseguenza, i </w:t>
      </w:r>
      <w:r w:rsidR="00F9518B" w:rsidRPr="0045055A">
        <w:rPr>
          <w:b/>
          <w:bCs/>
        </w:rPr>
        <w:t>costi di negoziazione sono relativamente elevati</w:t>
      </w:r>
      <w:r w:rsidR="00F9518B" w:rsidRPr="003B706A">
        <w:t xml:space="preserve"> e rendono costosa la costruzione e la gestione di un portafoglio passivo contenente centinaia di </w:t>
      </w:r>
      <w:r w:rsidR="00F9518B" w:rsidRPr="00FF5340">
        <w:t>emissioni</w:t>
      </w:r>
      <w:r w:rsidR="00977AC9" w:rsidRPr="00FF5340">
        <w:t>.</w:t>
      </w:r>
      <w:r w:rsidR="00977AC9" w:rsidRPr="003B706A">
        <w:t xml:space="preserve"> </w:t>
      </w:r>
      <w:r w:rsidR="00216FC8" w:rsidRPr="00216FC8">
        <w:t xml:space="preserve">Questo aspetto è particolarmente impegnativo per </w:t>
      </w:r>
      <w:r w:rsidR="00801874">
        <w:t>gli ETF</w:t>
      </w:r>
      <w:r w:rsidR="00216FC8" w:rsidRPr="00216FC8">
        <w:t>, poiché molti investitori tendono a utilizzare tali strumenti per posizionamenti tattici a breve termine, che comportano frequenti operazioni di entrata e uscita dal mercato e probabilmente a costi più elevati.</w:t>
      </w:r>
    </w:p>
    <w:p w14:paraId="690FDDBA" w14:textId="71D2B41B" w:rsidR="00977AC9" w:rsidRPr="000D532D" w:rsidRDefault="00EA599A" w:rsidP="00EA599A">
      <w:r>
        <w:rPr>
          <w:u w:val="single"/>
        </w:rPr>
        <w:t>Ampio universo investibile</w:t>
      </w:r>
      <w:r w:rsidR="00801874">
        <w:br/>
      </w:r>
      <w:r w:rsidR="00902AE0" w:rsidRPr="00902AE0">
        <w:t>Gli indici di riferimento obbligazionari hanno registrato un turnover significativamente più elevato rispetto alla maggior parte degli indici azionari. Le nuove emissioni, le scadenze obbligazionarie, le azioni societarie</w:t>
      </w:r>
      <w:r w:rsidR="005302D9">
        <w:t>,</w:t>
      </w:r>
      <w:r w:rsidR="00902AE0" w:rsidRPr="00902AE0">
        <w:t xml:space="preserve"> come le offerte d</w:t>
      </w:r>
      <w:r w:rsidR="005302D9">
        <w:t>’</w:t>
      </w:r>
      <w:r w:rsidR="00902AE0" w:rsidRPr="00902AE0">
        <w:t>asta e gli u</w:t>
      </w:r>
      <w:r w:rsidR="00902AE0">
        <w:t>pgrade</w:t>
      </w:r>
      <w:r w:rsidR="00902AE0" w:rsidRPr="00902AE0">
        <w:t xml:space="preserve"> e i </w:t>
      </w:r>
      <w:r w:rsidR="00902AE0">
        <w:t>downgrade</w:t>
      </w:r>
      <w:r w:rsidR="00902AE0" w:rsidRPr="00902AE0">
        <w:t xml:space="preserve"> del rating </w:t>
      </w:r>
      <w:r w:rsidR="00902AE0">
        <w:t>creditizio</w:t>
      </w:r>
      <w:r w:rsidR="005302D9">
        <w:t>,</w:t>
      </w:r>
      <w:r w:rsidR="00902AE0" w:rsidRPr="00902AE0">
        <w:t xml:space="preserve"> sono tutti fattori che hanno fatto sì che la composizione dell</w:t>
      </w:r>
      <w:r w:rsidR="005302D9">
        <w:t>’</w:t>
      </w:r>
      <w:r w:rsidR="00902AE0" w:rsidRPr="00902AE0">
        <w:t xml:space="preserve">ICE BofA U.S. High Yield </w:t>
      </w:r>
      <w:proofErr w:type="spellStart"/>
      <w:r w:rsidR="00902AE0" w:rsidRPr="00902AE0">
        <w:t>Constrained</w:t>
      </w:r>
      <w:proofErr w:type="spellEnd"/>
      <w:r w:rsidR="00902AE0" w:rsidRPr="00902AE0">
        <w:t xml:space="preserve"> Index cambi continuamente, determinando un turnover dell</w:t>
      </w:r>
      <w:r w:rsidR="005302D9">
        <w:t>’</w:t>
      </w:r>
      <w:r w:rsidR="00902AE0" w:rsidRPr="00902AE0">
        <w:t xml:space="preserve">indice più elevato rispetto alle azioni. </w:t>
      </w:r>
      <w:r w:rsidR="00622B67" w:rsidRPr="00622B67">
        <w:t>La maggior parte degli ETF passivi di grandi dimensioni impone requisiti dimensionali minimi, come un importo nominale mi</w:t>
      </w:r>
      <w:r w:rsidR="00622B67">
        <w:t xml:space="preserve">nimo </w:t>
      </w:r>
      <w:r w:rsidR="00622B67" w:rsidRPr="00622B67">
        <w:t xml:space="preserve">in circolazione di almeno </w:t>
      </w:r>
      <w:r w:rsidR="00801874">
        <w:t>un</w:t>
      </w:r>
      <w:r w:rsidR="00622B67" w:rsidRPr="00622B67">
        <w:t xml:space="preserve"> miliardo di dollari USA a livello di emittente o un valore nominale in circolazione di 400 milioni di dollari USA a livello di </w:t>
      </w:r>
      <w:r w:rsidR="00622B67" w:rsidRPr="00D87E2E">
        <w:t>emissione.</w:t>
      </w:r>
      <w:r w:rsidR="00622B67" w:rsidRPr="00622B67">
        <w:t xml:space="preserve"> </w:t>
      </w:r>
      <w:r w:rsidR="00622B67" w:rsidRPr="00B4431D">
        <w:t xml:space="preserve">Queste </w:t>
      </w:r>
      <w:r w:rsidR="00622B67" w:rsidRPr="0045055A">
        <w:rPr>
          <w:b/>
          <w:bCs/>
        </w:rPr>
        <w:t>restrizioni possono ridurre notevolmente l</w:t>
      </w:r>
      <w:r w:rsidR="005302D9">
        <w:rPr>
          <w:b/>
          <w:bCs/>
        </w:rPr>
        <w:t>’</w:t>
      </w:r>
      <w:r w:rsidR="00622B67" w:rsidRPr="0045055A">
        <w:rPr>
          <w:b/>
          <w:bCs/>
        </w:rPr>
        <w:t>universo investibile e possono far sì che le partecipazioni degli ETF passivi si concentrino sulle obbligazioni più grandi e più liqui</w:t>
      </w:r>
      <w:r w:rsidR="00622B67" w:rsidRPr="00B4431D">
        <w:t>de dell</w:t>
      </w:r>
      <w:r w:rsidR="005302D9">
        <w:t>’</w:t>
      </w:r>
      <w:r w:rsidR="00622B67" w:rsidRPr="00B4431D">
        <w:t xml:space="preserve">indice. </w:t>
      </w:r>
      <w:r w:rsidR="00801874">
        <w:t xml:space="preserve"> </w:t>
      </w:r>
      <w:r w:rsidR="00D87E2E" w:rsidRPr="007D0470">
        <w:t xml:space="preserve">Di conseguenza, il tracking </w:t>
      </w:r>
      <w:proofErr w:type="spellStart"/>
      <w:r w:rsidR="00D87E2E" w:rsidRPr="007D0470">
        <w:t>error</w:t>
      </w:r>
      <w:proofErr w:type="spellEnd"/>
      <w:r w:rsidR="00D87E2E" w:rsidRPr="007D0470">
        <w:t xml:space="preserve"> delle strategie high yield a gestione passiva tende a essere elevato rispetto a quello delle azioni ed è stato difficile per le strategie passive sovraperformare su periodi di tempo più lunghi.</w:t>
      </w:r>
      <w:r w:rsidR="007B4F51">
        <w:br/>
      </w:r>
      <w:r w:rsidR="0019619F">
        <w:rPr>
          <w:u w:val="single"/>
        </w:rPr>
        <w:br/>
      </w:r>
      <w:r w:rsidR="007B4F51">
        <w:rPr>
          <w:u w:val="single"/>
        </w:rPr>
        <w:t>O</w:t>
      </w:r>
      <w:r w:rsidR="004D60A7">
        <w:rPr>
          <w:u w:val="single"/>
        </w:rPr>
        <w:t>pportunis</w:t>
      </w:r>
      <w:r w:rsidR="007B4F51">
        <w:rPr>
          <w:u w:val="single"/>
        </w:rPr>
        <w:t>mo</w:t>
      </w:r>
      <w:r w:rsidR="004D60A7">
        <w:rPr>
          <w:u w:val="single"/>
        </w:rPr>
        <w:t xml:space="preserve"> sui prezzi</w:t>
      </w:r>
      <w:r w:rsidR="005302D9" w:rsidRPr="0045055A">
        <w:rPr>
          <w:u w:val="single"/>
        </w:rPr>
        <w:br/>
      </w:r>
      <w:r w:rsidR="005302D9" w:rsidRPr="00B472F7">
        <w:t>I gestor</w:t>
      </w:r>
      <w:r w:rsidR="005302D9">
        <w:t>i</w:t>
      </w:r>
      <w:r w:rsidR="005302D9" w:rsidRPr="00B472F7">
        <w:t xml:space="preserve"> attiv</w:t>
      </w:r>
      <w:r w:rsidR="005302D9">
        <w:t>i</w:t>
      </w:r>
      <w:r>
        <w:t xml:space="preserve"> </w:t>
      </w:r>
      <w:r w:rsidR="005302D9" w:rsidRPr="00B472F7">
        <w:t>non s</w:t>
      </w:r>
      <w:r w:rsidR="005302D9">
        <w:t>ono</w:t>
      </w:r>
      <w:r w:rsidR="005302D9" w:rsidRPr="00B472F7">
        <w:t xml:space="preserve"> limitati dai requisiti </w:t>
      </w:r>
      <w:r w:rsidR="005302D9">
        <w:t>dimensionali</w:t>
      </w:r>
      <w:r w:rsidR="005302D9" w:rsidRPr="00B472F7">
        <w:t xml:space="preserve"> minim</w:t>
      </w:r>
      <w:r w:rsidR="005302D9">
        <w:t>i</w:t>
      </w:r>
      <w:r w:rsidR="005302D9" w:rsidRPr="00B472F7">
        <w:t xml:space="preserve"> </w:t>
      </w:r>
      <w:r w:rsidR="005302D9">
        <w:t xml:space="preserve">per le </w:t>
      </w:r>
      <w:r w:rsidR="005302D9" w:rsidRPr="00B472F7">
        <w:t>emission</w:t>
      </w:r>
      <w:r w:rsidR="005302D9">
        <w:t>i</w:t>
      </w:r>
      <w:r w:rsidR="005302D9" w:rsidRPr="00B472F7">
        <w:t xml:space="preserve"> come molti ETF passivi. </w:t>
      </w:r>
      <w:r w:rsidR="005302D9" w:rsidRPr="0045055A">
        <w:rPr>
          <w:b/>
          <w:bCs/>
        </w:rPr>
        <w:t xml:space="preserve">Possono investire nell'intero universo dei titoli high yield, cercando di sfruttare le opportunità offerte dagli emittenti a grande, media e piccola capitalizzazione, sia pubblici </w:t>
      </w:r>
      <w:r w:rsidR="00EF1B5A">
        <w:rPr>
          <w:b/>
          <w:bCs/>
        </w:rPr>
        <w:t>sia</w:t>
      </w:r>
      <w:r w:rsidR="005302D9" w:rsidRPr="0045055A">
        <w:rPr>
          <w:b/>
          <w:bCs/>
        </w:rPr>
        <w:t xml:space="preserve"> privati</w:t>
      </w:r>
      <w:r w:rsidR="005302D9" w:rsidRPr="00B472F7">
        <w:t xml:space="preserve">, </w:t>
      </w:r>
      <w:r w:rsidR="005302D9">
        <w:t>per cui</w:t>
      </w:r>
      <w:r w:rsidR="005302D9" w:rsidRPr="00B472F7">
        <w:t xml:space="preserve"> le inefficienze del mercato tendono ad abbondare a causa della limitata copertura della ricerca o della mancanza di un'ampia partecipazione </w:t>
      </w:r>
      <w:r w:rsidR="005302D9" w:rsidRPr="000A6B22">
        <w:t>al mercato.</w:t>
      </w:r>
      <w:r w:rsidR="005302D9" w:rsidRPr="00B472F7">
        <w:t xml:space="preserve"> Inoltre, i</w:t>
      </w:r>
      <w:r w:rsidR="005302D9">
        <w:t xml:space="preserve"> gestori attivi </w:t>
      </w:r>
      <w:r w:rsidR="005302D9" w:rsidRPr="0045055A">
        <w:rPr>
          <w:b/>
          <w:bCs/>
        </w:rPr>
        <w:t>possono aggiungere opportunisticamente esposizioni al di fuori del benchmark, come prestiti bancari o titoli privilegiati</w:t>
      </w:r>
      <w:r w:rsidR="005302D9" w:rsidRPr="00307159">
        <w:t>.</w:t>
      </w:r>
      <w:r w:rsidR="005302D9" w:rsidRPr="007E681C">
        <w:rPr>
          <w:b/>
          <w:bCs/>
        </w:rPr>
        <w:t xml:space="preserve"> </w:t>
      </w:r>
      <w:r w:rsidR="000D532D">
        <w:t>Di contro</w:t>
      </w:r>
      <w:r w:rsidR="000D532D" w:rsidRPr="000D532D">
        <w:t xml:space="preserve">, </w:t>
      </w:r>
      <w:r w:rsidR="000D532D" w:rsidRPr="0045055A">
        <w:rPr>
          <w:b/>
          <w:bCs/>
        </w:rPr>
        <w:t>le strategie passive possono essere costrette a detenere parti del mercato meno interessanti a livelli ingiustificabili</w:t>
      </w:r>
      <w:r w:rsidR="00977AC9" w:rsidRPr="00322425">
        <w:t>.</w:t>
      </w:r>
      <w:r w:rsidR="00977AC9" w:rsidRPr="000D532D">
        <w:t xml:space="preserve"> </w:t>
      </w:r>
    </w:p>
    <w:p w14:paraId="79587BB0" w14:textId="7A267747" w:rsidR="007B4F51" w:rsidRPr="00266F3E" w:rsidRDefault="00B87772" w:rsidP="007B4F51">
      <w:r w:rsidRPr="00B87772">
        <w:t>I</w:t>
      </w:r>
      <w:r w:rsidR="00801874">
        <w:t xml:space="preserve"> gestori attivi</w:t>
      </w:r>
      <w:r w:rsidR="00EA599A">
        <w:t>, invece,</w:t>
      </w:r>
      <w:r w:rsidR="00801874">
        <w:t xml:space="preserve"> </w:t>
      </w:r>
      <w:r w:rsidRPr="00B87772">
        <w:t>poss</w:t>
      </w:r>
      <w:r w:rsidR="00801874">
        <w:t xml:space="preserve">ono </w:t>
      </w:r>
      <w:r>
        <w:t xml:space="preserve">assumere un </w:t>
      </w:r>
      <w:r w:rsidRPr="0045055A">
        <w:rPr>
          <w:b/>
          <w:bCs/>
        </w:rPr>
        <w:t>atteggiamento più opportunistico riguardo al prezzo</w:t>
      </w:r>
      <w:r w:rsidRPr="00B87772">
        <w:t xml:space="preserve"> a cui acquist</w:t>
      </w:r>
      <w:r w:rsidR="00801874">
        <w:t>ano</w:t>
      </w:r>
      <w:r w:rsidRPr="00B87772">
        <w:t xml:space="preserve"> o vend</w:t>
      </w:r>
      <w:r w:rsidR="00801874">
        <w:t>ono</w:t>
      </w:r>
      <w:r w:rsidRPr="00B87772">
        <w:t xml:space="preserve"> un titolo</w:t>
      </w:r>
      <w:r w:rsidR="00801874">
        <w:t>,</w:t>
      </w:r>
      <w:r w:rsidRPr="00B87772">
        <w:t xml:space="preserve"> se </w:t>
      </w:r>
      <w:r w:rsidR="00322425">
        <w:t>appur</w:t>
      </w:r>
      <w:r w:rsidR="00801874">
        <w:t>ano</w:t>
      </w:r>
      <w:r w:rsidRPr="00B87772">
        <w:t xml:space="preserve"> che esist</w:t>
      </w:r>
      <w:r w:rsidR="005302D9">
        <w:t>a</w:t>
      </w:r>
      <w:r w:rsidRPr="00B87772">
        <w:t xml:space="preserve"> un punto d</w:t>
      </w:r>
      <w:r>
        <w:t>’</w:t>
      </w:r>
      <w:r w:rsidRPr="00B87772">
        <w:t xml:space="preserve">ingresso </w:t>
      </w:r>
      <w:r>
        <w:t xml:space="preserve">molto interessante </w:t>
      </w:r>
      <w:r w:rsidRPr="00B87772">
        <w:t xml:space="preserve">o un'opportunità di rendimento totale per il </w:t>
      </w:r>
      <w:r w:rsidR="00EF1B5A">
        <w:t>proprio</w:t>
      </w:r>
      <w:r w:rsidR="00EF1B5A" w:rsidRPr="00B87772">
        <w:t xml:space="preserve"> </w:t>
      </w:r>
      <w:r w:rsidRPr="00B87772">
        <w:t xml:space="preserve">portafoglio. Gli </w:t>
      </w:r>
      <w:r w:rsidRPr="0045055A">
        <w:rPr>
          <w:b/>
          <w:bCs/>
        </w:rPr>
        <w:t xml:space="preserve">investitori passivi tendono a essere </w:t>
      </w:r>
      <w:r w:rsidRPr="0045055A">
        <w:rPr>
          <w:b/>
          <w:bCs/>
        </w:rPr>
        <w:lastRenderedPageBreak/>
        <w:t xml:space="preserve">"price </w:t>
      </w:r>
      <w:proofErr w:type="spellStart"/>
      <w:r w:rsidRPr="0045055A">
        <w:rPr>
          <w:b/>
          <w:bCs/>
        </w:rPr>
        <w:t>taker</w:t>
      </w:r>
      <w:proofErr w:type="spellEnd"/>
      <w:r w:rsidRPr="0045055A">
        <w:rPr>
          <w:b/>
          <w:bCs/>
        </w:rPr>
        <w:t>", acquistando automaticamente obbligazioni all'emissione</w:t>
      </w:r>
      <w:r w:rsidR="00322425" w:rsidRPr="0045055A">
        <w:rPr>
          <w:b/>
          <w:bCs/>
        </w:rPr>
        <w:t>,</w:t>
      </w:r>
      <w:r w:rsidRPr="0045055A">
        <w:rPr>
          <w:b/>
          <w:bCs/>
        </w:rPr>
        <w:t xml:space="preserve"> o effettuando transazioni quando un titolo entra o esce dall'indice</w:t>
      </w:r>
      <w:r w:rsidRPr="00B87772">
        <w:t xml:space="preserve">. </w:t>
      </w:r>
      <w:r w:rsidR="00322425">
        <w:t>Ciò</w:t>
      </w:r>
      <w:r w:rsidRPr="00B87772">
        <w:t xml:space="preserve"> può anche </w:t>
      </w:r>
      <w:r w:rsidR="00322425">
        <w:t>comportare l</w:t>
      </w:r>
      <w:r w:rsidR="005302D9">
        <w:t>a</w:t>
      </w:r>
      <w:r w:rsidR="00322425">
        <w:t xml:space="preserve"> compravendit</w:t>
      </w:r>
      <w:r w:rsidR="005302D9">
        <w:t>a</w:t>
      </w:r>
      <w:r w:rsidR="00322425">
        <w:t xml:space="preserve"> di</w:t>
      </w:r>
      <w:r w:rsidRPr="00B87772">
        <w:t xml:space="preserve"> titoli in momenti inopportuni</w:t>
      </w:r>
      <w:r w:rsidR="00EA599A">
        <w:t>.</w:t>
      </w:r>
      <w:r w:rsidR="004D60A7">
        <w:br/>
      </w:r>
      <w:r w:rsidR="007B4F51">
        <w:rPr>
          <w:u w:val="single"/>
        </w:rPr>
        <w:br/>
      </w:r>
      <w:r w:rsidR="00F7574E" w:rsidRPr="0045055A">
        <w:rPr>
          <w:u w:val="single"/>
        </w:rPr>
        <w:t>Gestione dei rischi</w:t>
      </w:r>
      <w:r w:rsidR="005302D9" w:rsidRPr="0045055A">
        <w:rPr>
          <w:u w:val="single"/>
        </w:rPr>
        <w:br/>
      </w:r>
      <w:r w:rsidR="007B4F51" w:rsidRPr="00F5548A">
        <w:t xml:space="preserve">La liquidità </w:t>
      </w:r>
      <w:r w:rsidR="007B4F51">
        <w:t>sul</w:t>
      </w:r>
      <w:r w:rsidR="007B4F51" w:rsidRPr="00F5548A">
        <w:t xml:space="preserve"> mercato delle obbligazioni high yield può </w:t>
      </w:r>
      <w:r w:rsidR="007B4F51">
        <w:t>costituire</w:t>
      </w:r>
      <w:r w:rsidR="007B4F51" w:rsidRPr="00F5548A">
        <w:t xml:space="preserve"> una sfida, in quanto le singole obbligazioni tendono a essere scambiate molto meno delle tipiche azioni e alcune possono anche non essere </w:t>
      </w:r>
      <w:r w:rsidR="007B4F51">
        <w:t>negoziate</w:t>
      </w:r>
      <w:r w:rsidR="007B4F51" w:rsidRPr="00F5548A">
        <w:t xml:space="preserve"> se detenute fino alla scadenza. Di conseguenza, </w:t>
      </w:r>
      <w:r w:rsidR="007B4F51" w:rsidRPr="008947AF">
        <w:rPr>
          <w:b/>
          <w:bCs/>
        </w:rPr>
        <w:t xml:space="preserve">spesso emissioni obbligazionarie specifiche non sono disponibili nelle quantità desiderate </w:t>
      </w:r>
      <w:r w:rsidR="007B4F51" w:rsidRPr="004D60A7">
        <w:t>e i costi di negoziazione possono essere decisamente elevati.</w:t>
      </w:r>
      <w:r w:rsidR="007B4F51" w:rsidRPr="00F5548A">
        <w:t xml:space="preserve"> Inoltre, gli emittenti tendono a vendere quantità limitate di nuove emissioni, per cui la domanda di operazioni a prezzi interessanti può essere </w:t>
      </w:r>
      <w:r w:rsidR="007B4F51">
        <w:t>consistente.</w:t>
      </w:r>
      <w:r w:rsidR="007B4F51" w:rsidRPr="00F7574E">
        <w:t xml:space="preserve"> </w:t>
      </w:r>
    </w:p>
    <w:p w14:paraId="0913EB21" w14:textId="6FF73765" w:rsidR="005D5F6A" w:rsidRPr="00142E72" w:rsidRDefault="00777242" w:rsidP="007B4F51">
      <w:r w:rsidRPr="005302D9">
        <w:t>Considerati i rischi asimmetrici associati alle insolvenze sul mercato high yield</w:t>
      </w:r>
      <w:r w:rsidR="004D60A7">
        <w:t>,</w:t>
      </w:r>
      <w:r w:rsidRPr="005302D9">
        <w:t xml:space="preserve"> è importante notare che un approccio attivo consente una gestione de</w:t>
      </w:r>
      <w:r w:rsidR="004F10BC" w:rsidRPr="005302D9">
        <w:t>i</w:t>
      </w:r>
      <w:r w:rsidRPr="005302D9">
        <w:t xml:space="preserve"> rischi più </w:t>
      </w:r>
      <w:r w:rsidR="004F10BC" w:rsidRPr="005302D9">
        <w:t>attenta</w:t>
      </w:r>
      <w:r w:rsidRPr="005302D9">
        <w:t>. Le strategie passive</w:t>
      </w:r>
      <w:r w:rsidR="007B4F51">
        <w:t xml:space="preserve"> </w:t>
      </w:r>
      <w:r w:rsidRPr="005302D9">
        <w:t>ponderano le partecipazioni in base al valore di mercato delle obbligazioni in circolazione d</w:t>
      </w:r>
      <w:r w:rsidR="004F10BC" w:rsidRPr="005302D9">
        <w:t xml:space="preserve">i un </w:t>
      </w:r>
      <w:r w:rsidRPr="005302D9">
        <w:t xml:space="preserve">emittente. Pertanto, </w:t>
      </w:r>
      <w:r w:rsidRPr="0045055A">
        <w:rPr>
          <w:b/>
          <w:bCs/>
        </w:rPr>
        <w:t>le società con</w:t>
      </w:r>
      <w:r w:rsidR="001617EF" w:rsidRPr="0045055A">
        <w:rPr>
          <w:b/>
          <w:bCs/>
        </w:rPr>
        <w:t xml:space="preserve"> gli indebitamenti più consistenti</w:t>
      </w:r>
      <w:r w:rsidRPr="0045055A">
        <w:rPr>
          <w:b/>
          <w:bCs/>
        </w:rPr>
        <w:t xml:space="preserve">, che spesso hanno maggiori probabilità di insolvenza, sono quelle </w:t>
      </w:r>
      <w:r w:rsidR="007B543A" w:rsidRPr="0045055A">
        <w:rPr>
          <w:b/>
          <w:bCs/>
        </w:rPr>
        <w:t>a cui,</w:t>
      </w:r>
      <w:r w:rsidRPr="0045055A">
        <w:rPr>
          <w:b/>
          <w:bCs/>
        </w:rPr>
        <w:t xml:space="preserve"> in genere</w:t>
      </w:r>
      <w:r w:rsidR="007B543A" w:rsidRPr="0045055A">
        <w:rPr>
          <w:b/>
          <w:bCs/>
        </w:rPr>
        <w:t>,</w:t>
      </w:r>
      <w:r w:rsidRPr="0045055A">
        <w:rPr>
          <w:b/>
          <w:bCs/>
        </w:rPr>
        <w:t xml:space="preserve"> </w:t>
      </w:r>
      <w:r w:rsidR="007B543A" w:rsidRPr="0045055A">
        <w:rPr>
          <w:b/>
          <w:bCs/>
        </w:rPr>
        <w:t>vengono destinate</w:t>
      </w:r>
      <w:r w:rsidRPr="0045055A">
        <w:rPr>
          <w:b/>
          <w:bCs/>
        </w:rPr>
        <w:t xml:space="preserve"> le ponderazioni maggiori nelle strategie passive.</w:t>
      </w:r>
      <w:r w:rsidR="004D60A7">
        <w:t xml:space="preserve"> Con</w:t>
      </w:r>
      <w:r w:rsidR="00A549A8" w:rsidRPr="00A549A8">
        <w:t xml:space="preserve"> un approccio attivo, </w:t>
      </w:r>
      <w:r w:rsidR="005302D9">
        <w:t xml:space="preserve">si è in grado </w:t>
      </w:r>
      <w:r w:rsidR="00A549A8" w:rsidRPr="00A549A8">
        <w:t xml:space="preserve">di valutare l'intero bilancio aziendale, comprese le fonti di reddito e i flussi di cassa attuali e futuri, </w:t>
      </w:r>
      <w:r w:rsidR="004D60A7">
        <w:t>per</w:t>
      </w:r>
      <w:r w:rsidR="00A549A8" w:rsidRPr="00A549A8">
        <w:t xml:space="preserve"> determinare quali aziende siano meglio posizionate per far fronte ai loro obblighi di debito attuali e futuri. </w:t>
      </w:r>
      <w:r w:rsidR="004D60A7">
        <w:t xml:space="preserve">Ci sono </w:t>
      </w:r>
      <w:r w:rsidR="00CF3F09" w:rsidRPr="005302D9">
        <w:t>momenti e luoghi</w:t>
      </w:r>
      <w:r w:rsidR="004C35B0" w:rsidRPr="005302D9">
        <w:t>,</w:t>
      </w:r>
      <w:r w:rsidR="00CF3F09" w:rsidRPr="005302D9">
        <w:t xml:space="preserve"> </w:t>
      </w:r>
      <w:r w:rsidR="004D60A7">
        <w:t xml:space="preserve">tuttavia, </w:t>
      </w:r>
      <w:r w:rsidR="004C35B0" w:rsidRPr="005302D9">
        <w:t>per</w:t>
      </w:r>
      <w:r w:rsidR="00CF3F09" w:rsidRPr="005302D9">
        <w:t xml:space="preserve"> cui </w:t>
      </w:r>
      <w:r w:rsidR="004C35B0" w:rsidRPr="005302D9">
        <w:t xml:space="preserve">può essere auspicabile </w:t>
      </w:r>
      <w:r w:rsidR="00CF3F09" w:rsidRPr="005302D9">
        <w:t xml:space="preserve">l'utilizzo di un ETF passivo nel comparto high yield. </w:t>
      </w:r>
      <w:r w:rsidR="00CF3F09" w:rsidRPr="0045055A">
        <w:rPr>
          <w:b/>
          <w:bCs/>
        </w:rPr>
        <w:t xml:space="preserve">Occasionalmente </w:t>
      </w:r>
      <w:r w:rsidR="00801874" w:rsidRPr="0045055A">
        <w:rPr>
          <w:b/>
          <w:bCs/>
        </w:rPr>
        <w:t>l’utilizzo di</w:t>
      </w:r>
      <w:r w:rsidR="00CF3F09" w:rsidRPr="0045055A">
        <w:rPr>
          <w:b/>
          <w:bCs/>
        </w:rPr>
        <w:t xml:space="preserve"> ETF passivi </w:t>
      </w:r>
      <w:r w:rsidR="004C35B0" w:rsidRPr="0045055A">
        <w:rPr>
          <w:b/>
          <w:bCs/>
        </w:rPr>
        <w:t>in ambito</w:t>
      </w:r>
      <w:r w:rsidR="003034F0" w:rsidRPr="0045055A">
        <w:rPr>
          <w:b/>
          <w:bCs/>
        </w:rPr>
        <w:t xml:space="preserve"> high yield</w:t>
      </w:r>
      <w:r w:rsidR="00CF3F09" w:rsidRPr="0045055A">
        <w:rPr>
          <w:b/>
          <w:bCs/>
        </w:rPr>
        <w:t xml:space="preserve"> </w:t>
      </w:r>
      <w:r w:rsidR="00801874" w:rsidRPr="0045055A">
        <w:rPr>
          <w:b/>
          <w:bCs/>
        </w:rPr>
        <w:t xml:space="preserve">può aiutare a </w:t>
      </w:r>
      <w:r w:rsidR="00CF3F09" w:rsidRPr="0045055A">
        <w:rPr>
          <w:b/>
          <w:bCs/>
        </w:rPr>
        <w:t>ottenere un'ampia esposizione al mercato su base temporanea</w:t>
      </w:r>
      <w:r w:rsidR="00CF3F09" w:rsidRPr="005302D9">
        <w:t xml:space="preserve"> e a breve termine </w:t>
      </w:r>
      <w:r w:rsidR="004C35B0" w:rsidRPr="005302D9">
        <w:t>per finalità di</w:t>
      </w:r>
      <w:r w:rsidR="00CF3F09" w:rsidRPr="005302D9">
        <w:t xml:space="preserve"> liquidità. </w:t>
      </w:r>
    </w:p>
    <w:sectPr w:rsidR="005D5F6A" w:rsidRPr="00142E72" w:rsidSect="00C037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D0D"/>
    <w:multiLevelType w:val="multilevel"/>
    <w:tmpl w:val="56D8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D64C75"/>
    <w:multiLevelType w:val="multilevel"/>
    <w:tmpl w:val="E4183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9B5FA7"/>
    <w:multiLevelType w:val="multilevel"/>
    <w:tmpl w:val="CB980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7544904">
    <w:abstractNumId w:val="1"/>
  </w:num>
  <w:num w:numId="2" w16cid:durableId="548424195">
    <w:abstractNumId w:val="2"/>
  </w:num>
  <w:num w:numId="3" w16cid:durableId="395133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AC9"/>
    <w:rsid w:val="0001212E"/>
    <w:rsid w:val="00021E46"/>
    <w:rsid w:val="00071E68"/>
    <w:rsid w:val="000A6B22"/>
    <w:rsid w:val="000A73EE"/>
    <w:rsid w:val="000B16E9"/>
    <w:rsid w:val="000D532D"/>
    <w:rsid w:val="000E1B34"/>
    <w:rsid w:val="000F3A29"/>
    <w:rsid w:val="001263C5"/>
    <w:rsid w:val="00142E72"/>
    <w:rsid w:val="001605CB"/>
    <w:rsid w:val="001617EF"/>
    <w:rsid w:val="001923F1"/>
    <w:rsid w:val="0019619F"/>
    <w:rsid w:val="001A12C1"/>
    <w:rsid w:val="001C4C93"/>
    <w:rsid w:val="001E2D44"/>
    <w:rsid w:val="00204F15"/>
    <w:rsid w:val="00216FC8"/>
    <w:rsid w:val="00217F97"/>
    <w:rsid w:val="00266F3E"/>
    <w:rsid w:val="003034F0"/>
    <w:rsid w:val="00304CF8"/>
    <w:rsid w:val="00307159"/>
    <w:rsid w:val="00311BD2"/>
    <w:rsid w:val="00322425"/>
    <w:rsid w:val="00362647"/>
    <w:rsid w:val="003B706A"/>
    <w:rsid w:val="0041257A"/>
    <w:rsid w:val="00420FCB"/>
    <w:rsid w:val="00443666"/>
    <w:rsid w:val="0045055A"/>
    <w:rsid w:val="00476B95"/>
    <w:rsid w:val="004A6A84"/>
    <w:rsid w:val="004B7919"/>
    <w:rsid w:val="004C35B0"/>
    <w:rsid w:val="004C4DBA"/>
    <w:rsid w:val="004D60A7"/>
    <w:rsid w:val="004E28CD"/>
    <w:rsid w:val="004F10BC"/>
    <w:rsid w:val="00505753"/>
    <w:rsid w:val="005302D9"/>
    <w:rsid w:val="00554848"/>
    <w:rsid w:val="005B01B2"/>
    <w:rsid w:val="005D5F6A"/>
    <w:rsid w:val="0060304C"/>
    <w:rsid w:val="00622B67"/>
    <w:rsid w:val="00642924"/>
    <w:rsid w:val="0068669B"/>
    <w:rsid w:val="007144AC"/>
    <w:rsid w:val="0071756B"/>
    <w:rsid w:val="007400A8"/>
    <w:rsid w:val="00777242"/>
    <w:rsid w:val="007A1279"/>
    <w:rsid w:val="007B4F51"/>
    <w:rsid w:val="007B543A"/>
    <w:rsid w:val="007C05AE"/>
    <w:rsid w:val="007C0EF8"/>
    <w:rsid w:val="007D0470"/>
    <w:rsid w:val="007D20B4"/>
    <w:rsid w:val="007E681C"/>
    <w:rsid w:val="00801874"/>
    <w:rsid w:val="00864168"/>
    <w:rsid w:val="008A1068"/>
    <w:rsid w:val="00902AE0"/>
    <w:rsid w:val="00956B94"/>
    <w:rsid w:val="00957966"/>
    <w:rsid w:val="00970570"/>
    <w:rsid w:val="009744EE"/>
    <w:rsid w:val="00977AC9"/>
    <w:rsid w:val="009A2B39"/>
    <w:rsid w:val="009F244E"/>
    <w:rsid w:val="00A14B7F"/>
    <w:rsid w:val="00A549A8"/>
    <w:rsid w:val="00A65C44"/>
    <w:rsid w:val="00AE2939"/>
    <w:rsid w:val="00AE32D7"/>
    <w:rsid w:val="00B152CA"/>
    <w:rsid w:val="00B4431D"/>
    <w:rsid w:val="00B472F7"/>
    <w:rsid w:val="00B826CD"/>
    <w:rsid w:val="00B87772"/>
    <w:rsid w:val="00BA5058"/>
    <w:rsid w:val="00C03758"/>
    <w:rsid w:val="00C17514"/>
    <w:rsid w:val="00C33A17"/>
    <w:rsid w:val="00C472A1"/>
    <w:rsid w:val="00CF3F09"/>
    <w:rsid w:val="00D349D2"/>
    <w:rsid w:val="00D8617F"/>
    <w:rsid w:val="00D87E2E"/>
    <w:rsid w:val="00DC36F9"/>
    <w:rsid w:val="00DE585C"/>
    <w:rsid w:val="00DE6E25"/>
    <w:rsid w:val="00E37C82"/>
    <w:rsid w:val="00E6142A"/>
    <w:rsid w:val="00E66111"/>
    <w:rsid w:val="00E67773"/>
    <w:rsid w:val="00E967EE"/>
    <w:rsid w:val="00EA599A"/>
    <w:rsid w:val="00EF1B5A"/>
    <w:rsid w:val="00F5548A"/>
    <w:rsid w:val="00F7574E"/>
    <w:rsid w:val="00F9518B"/>
    <w:rsid w:val="00FA7F13"/>
    <w:rsid w:val="00FC59FF"/>
    <w:rsid w:val="00FE3948"/>
    <w:rsid w:val="00FF3BCC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23CD2"/>
  <w15:chartTrackingRefBased/>
  <w15:docId w15:val="{6E68A8E9-DB5E-452A-81FF-8FB70EDE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7AC9"/>
  </w:style>
  <w:style w:type="paragraph" w:styleId="Titolo1">
    <w:name w:val="heading 1"/>
    <w:basedOn w:val="Normale"/>
    <w:link w:val="Titolo1Carattere"/>
    <w:uiPriority w:val="9"/>
    <w:qFormat/>
    <w:rsid w:val="00DE6E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826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E6E2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semiHidden/>
    <w:unhideWhenUsed/>
    <w:rsid w:val="00476B95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476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826C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evisione">
    <w:name w:val="Revision"/>
    <w:hidden/>
    <w:uiPriority w:val="99"/>
    <w:semiHidden/>
    <w:rsid w:val="008018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76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8" w:color="D8D8D8"/>
                <w:right w:val="none" w:sz="0" w:space="0" w:color="auto"/>
              </w:divBdr>
              <w:divsChild>
                <w:div w:id="7624524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20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6416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8" w:color="D8D8D8"/>
                <w:right w:val="none" w:sz="0" w:space="0" w:color="auto"/>
              </w:divBdr>
              <w:divsChild>
                <w:div w:id="15602388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60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</dc:creator>
  <cp:keywords/>
  <dc:description/>
  <cp:lastModifiedBy>Massimo Morici</cp:lastModifiedBy>
  <cp:revision>2</cp:revision>
  <dcterms:created xsi:type="dcterms:W3CDTF">2024-02-07T12:01:00Z</dcterms:created>
  <dcterms:modified xsi:type="dcterms:W3CDTF">2024-02-07T12:01:00Z</dcterms:modified>
</cp:coreProperties>
</file>