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9823" w14:textId="787FC955" w:rsidR="00A41D86" w:rsidRPr="008363F8" w:rsidRDefault="00000429" w:rsidP="00A41D86">
      <w:pPr>
        <w:rPr>
          <w:b/>
          <w:bCs/>
        </w:rPr>
      </w:pPr>
      <w:r w:rsidRPr="0088424D">
        <w:rPr>
          <w:b/>
          <w:bCs/>
        </w:rPr>
        <w:t>T. Rowe Price</w:t>
      </w:r>
      <w:r>
        <w:t xml:space="preserve">: </w:t>
      </w:r>
      <w:r w:rsidRPr="0088424D">
        <w:rPr>
          <w:b/>
          <w:bCs/>
        </w:rPr>
        <w:t>È</w:t>
      </w:r>
      <w:r>
        <w:t xml:space="preserve"> </w:t>
      </w:r>
      <w:r w:rsidR="00A86435">
        <w:rPr>
          <w:b/>
          <w:bCs/>
        </w:rPr>
        <w:t>ora</w:t>
      </w:r>
      <w:r w:rsidR="00EE2334" w:rsidRPr="008363F8">
        <w:rPr>
          <w:b/>
          <w:bCs/>
        </w:rPr>
        <w:t xml:space="preserve"> di </w:t>
      </w:r>
      <w:r>
        <w:rPr>
          <w:b/>
          <w:bCs/>
        </w:rPr>
        <w:t>investire</w:t>
      </w:r>
      <w:r w:rsidR="00EE2334" w:rsidRPr="008363F8">
        <w:rPr>
          <w:b/>
          <w:bCs/>
        </w:rPr>
        <w:t xml:space="preserve"> la liquidità?</w:t>
      </w:r>
      <w:r>
        <w:rPr>
          <w:b/>
          <w:bCs/>
        </w:rPr>
        <w:t xml:space="preserve"> Quanto rende un portafoglio dopo il picco dei tassi</w:t>
      </w:r>
      <w:r w:rsidR="00EE2334" w:rsidRPr="008363F8">
        <w:rPr>
          <w:b/>
          <w:bCs/>
        </w:rPr>
        <w:t xml:space="preserve"> </w:t>
      </w:r>
    </w:p>
    <w:p w14:paraId="441F3E39" w14:textId="5E91252F" w:rsidR="00A41D86" w:rsidRPr="0088424D" w:rsidRDefault="00000429" w:rsidP="00A41D86">
      <w:pPr>
        <w:rPr>
          <w:lang w:val="en-US"/>
        </w:rPr>
      </w:pPr>
      <w:r w:rsidRPr="0088424D">
        <w:rPr>
          <w:lang w:val="en-US"/>
        </w:rPr>
        <w:t xml:space="preserve">A </w:t>
      </w:r>
      <w:proofErr w:type="spellStart"/>
      <w:r>
        <w:rPr>
          <w:lang w:val="en-US"/>
        </w:rPr>
        <w:t>cura</w:t>
      </w:r>
      <w:proofErr w:type="spellEnd"/>
      <w:r>
        <w:rPr>
          <w:lang w:val="en-US"/>
        </w:rPr>
        <w:t xml:space="preserve"> di </w:t>
      </w:r>
      <w:r w:rsidR="00A41D86" w:rsidRPr="0088424D">
        <w:rPr>
          <w:b/>
          <w:bCs/>
          <w:lang w:val="en-US"/>
        </w:rPr>
        <w:t xml:space="preserve">Terry Davis, </w:t>
      </w:r>
      <w:r w:rsidRPr="0088424D">
        <w:rPr>
          <w:b/>
          <w:bCs/>
          <w:lang w:val="en-US"/>
        </w:rPr>
        <w:t>Director of Investment Solutions,</w:t>
      </w:r>
      <w:r w:rsidRPr="00A86435">
        <w:rPr>
          <w:lang w:val="en-US"/>
        </w:rPr>
        <w:t xml:space="preserve"> e</w:t>
      </w:r>
      <w:r w:rsidRPr="0088424D">
        <w:rPr>
          <w:b/>
          <w:bCs/>
          <w:lang w:val="en-US"/>
        </w:rPr>
        <w:t xml:space="preserve"> </w:t>
      </w:r>
      <w:r w:rsidR="00A41D86" w:rsidRPr="0088424D">
        <w:rPr>
          <w:b/>
          <w:bCs/>
          <w:lang w:val="en-US"/>
        </w:rPr>
        <w:t xml:space="preserve">Andrew Wick, </w:t>
      </w:r>
      <w:r w:rsidRPr="0088424D">
        <w:rPr>
          <w:b/>
          <w:bCs/>
          <w:lang w:val="en-US"/>
        </w:rPr>
        <w:t>Lead Analyst, Portfolio Construction Solutions, T. Rowe Price</w:t>
      </w:r>
    </w:p>
    <w:p w14:paraId="7E04F341" w14:textId="08BC7DD7" w:rsidR="00AE7DD4" w:rsidRPr="008363F8" w:rsidRDefault="007D4EB1" w:rsidP="00A41D86">
      <w:r w:rsidRPr="008363F8">
        <w:t xml:space="preserve">L'incertezza sui mercati e i tassi d'interesse a breve termine superiori al 5% </w:t>
      </w:r>
      <w:r w:rsidR="00000429">
        <w:t xml:space="preserve">negli USA </w:t>
      </w:r>
      <w:r w:rsidRPr="008363F8">
        <w:t xml:space="preserve">hanno contribuito </w:t>
      </w:r>
      <w:r w:rsidR="00E1658D" w:rsidRPr="008363F8">
        <w:t>a</w:t>
      </w:r>
      <w:r w:rsidR="00B9775F">
        <w:t xml:space="preserve"> dirigere</w:t>
      </w:r>
      <w:r w:rsidR="000046AB">
        <w:t xml:space="preserve"> flussi</w:t>
      </w:r>
      <w:r w:rsidRPr="008363F8">
        <w:t xml:space="preserve"> record nei fondi </w:t>
      </w:r>
      <w:r w:rsidR="00111191">
        <w:t>monetari</w:t>
      </w:r>
      <w:r w:rsidRPr="008363F8">
        <w:t xml:space="preserve">. </w:t>
      </w:r>
      <w:r w:rsidR="00E1658D" w:rsidRPr="008363F8">
        <w:t>A fronte di</w:t>
      </w:r>
      <w:r w:rsidRPr="008363F8">
        <w:t xml:space="preserve"> tutta questa liquidità, </w:t>
      </w:r>
      <w:r w:rsidRPr="0088424D">
        <w:rPr>
          <w:b/>
          <w:bCs/>
        </w:rPr>
        <w:t xml:space="preserve">molti investitori vogliono sapere quando </w:t>
      </w:r>
      <w:r w:rsidR="009D51F2" w:rsidRPr="0088424D">
        <w:rPr>
          <w:b/>
          <w:bCs/>
        </w:rPr>
        <w:t>reinvestir</w:t>
      </w:r>
      <w:r w:rsidR="00111191">
        <w:rPr>
          <w:b/>
          <w:bCs/>
        </w:rPr>
        <w:t>la</w:t>
      </w:r>
      <w:r w:rsidRPr="0088424D">
        <w:rPr>
          <w:b/>
          <w:bCs/>
        </w:rPr>
        <w:t xml:space="preserve"> </w:t>
      </w:r>
      <w:r w:rsidR="009D51F2" w:rsidRPr="0088424D">
        <w:rPr>
          <w:b/>
          <w:bCs/>
        </w:rPr>
        <w:t xml:space="preserve">sul </w:t>
      </w:r>
      <w:r w:rsidRPr="0088424D">
        <w:rPr>
          <w:b/>
          <w:bCs/>
        </w:rPr>
        <w:t>mercato</w:t>
      </w:r>
      <w:r w:rsidRPr="008363F8">
        <w:t>.</w:t>
      </w:r>
      <w:r w:rsidR="00000429">
        <w:t xml:space="preserve"> </w:t>
      </w:r>
      <w:r w:rsidR="00AE7DD4" w:rsidRPr="008363F8">
        <w:t xml:space="preserve">La nostra analisi ha </w:t>
      </w:r>
      <w:r w:rsidR="001A5D63">
        <w:t>raffrontato</w:t>
      </w:r>
      <w:r w:rsidR="00AE7DD4" w:rsidRPr="008363F8">
        <w:t xml:space="preserve"> l'impatto storico de</w:t>
      </w:r>
      <w:r w:rsidR="001A5D63">
        <w:t xml:space="preserve">gli investimenti nell’ambito di </w:t>
      </w:r>
      <w:r w:rsidR="00AE7DD4" w:rsidRPr="008363F8">
        <w:t xml:space="preserve">varie </w:t>
      </w:r>
      <w:r w:rsidR="004753AE">
        <w:t>asset class</w:t>
      </w:r>
      <w:r w:rsidR="001310B0">
        <w:t>. Abbiamo confrontato</w:t>
      </w:r>
      <w:r w:rsidR="00AE7DD4" w:rsidRPr="008363F8">
        <w:t xml:space="preserve"> </w:t>
      </w:r>
      <w:r w:rsidR="001310B0">
        <w:t xml:space="preserve">la performance di </w:t>
      </w:r>
      <w:r w:rsidR="00AE7DD4" w:rsidRPr="008363F8">
        <w:t>un portafoglio bilanciato 60/40 di azioni</w:t>
      </w:r>
      <w:r w:rsidR="00111191">
        <w:t xml:space="preserve"> e </w:t>
      </w:r>
      <w:r w:rsidR="00AE7DD4" w:rsidRPr="008363F8">
        <w:t xml:space="preserve">obbligazioni </w:t>
      </w:r>
      <w:r w:rsidR="001310B0">
        <w:t xml:space="preserve">con </w:t>
      </w:r>
      <w:r w:rsidR="00AE7DD4" w:rsidRPr="008363F8">
        <w:t>la liquidità in diversi punti di partenza</w:t>
      </w:r>
      <w:r w:rsidR="001310B0">
        <w:t>:</w:t>
      </w:r>
      <w:r w:rsidR="00AE7DD4" w:rsidRPr="008363F8">
        <w:t xml:space="preserve"> prima, durante e dopo il picco dei cicli dei tassi sui Fed Fund. </w:t>
      </w:r>
    </w:p>
    <w:p w14:paraId="6FC396EB" w14:textId="0FEE30A2" w:rsidR="00A41D86" w:rsidRPr="008363F8" w:rsidRDefault="000B4446" w:rsidP="00A41D86">
      <w:r w:rsidRPr="008363F8">
        <w:t>Sulla base degli andamenti storici</w:t>
      </w:r>
      <w:r w:rsidRPr="0088424D">
        <w:rPr>
          <w:b/>
          <w:bCs/>
        </w:rPr>
        <w:t>, l'investimento in un portafoglio diversificato 60/40</w:t>
      </w:r>
      <w:r w:rsidR="001310B0">
        <w:rPr>
          <w:b/>
          <w:bCs/>
        </w:rPr>
        <w:t xml:space="preserve"> è risultato ottimale</w:t>
      </w:r>
      <w:r w:rsidRPr="0088424D">
        <w:rPr>
          <w:b/>
          <w:bCs/>
        </w:rPr>
        <w:t xml:space="preserve"> leggermente prima o durante il picco dei Fed Fund</w:t>
      </w:r>
      <w:r w:rsidR="001310B0">
        <w:rPr>
          <w:b/>
          <w:bCs/>
        </w:rPr>
        <w:t>;</w:t>
      </w:r>
      <w:r w:rsidRPr="0088424D">
        <w:rPr>
          <w:b/>
          <w:bCs/>
        </w:rPr>
        <w:t xml:space="preserve"> </w:t>
      </w:r>
      <w:r w:rsidR="001310B0">
        <w:rPr>
          <w:b/>
          <w:bCs/>
        </w:rPr>
        <w:t xml:space="preserve">anche </w:t>
      </w:r>
      <w:r w:rsidRPr="0088424D">
        <w:rPr>
          <w:b/>
          <w:bCs/>
        </w:rPr>
        <w:t>l'investimento dopo il picco ha comunque sovraperformato la liquidità</w:t>
      </w:r>
      <w:r w:rsidR="00A41D86" w:rsidRPr="008363F8">
        <w:t>.</w:t>
      </w:r>
      <w:r w:rsidR="00000429">
        <w:t xml:space="preserve"> </w:t>
      </w:r>
      <w:r w:rsidR="001310B0">
        <w:t>I</w:t>
      </w:r>
      <w:r w:rsidR="003A2818" w:rsidRPr="008363F8">
        <w:t>l reddito fisso ha sovraperformato in tutti i periodi, tranne un anno prima del punto di partenza del picco dei Fed Fund. I risultati delle azioni non sono stati così netti come quelli del reddito fisso, ma l'investimento al momento del picco ha generato rendimenti significativamente migliori rispetto a liquidità e obbligazioni.</w:t>
      </w:r>
    </w:p>
    <w:p w14:paraId="3D81992D" w14:textId="6774C84A" w:rsidR="00A41D86" w:rsidRPr="008363F8" w:rsidRDefault="00111191" w:rsidP="00A41D86">
      <w:r w:rsidRPr="00C3038B">
        <w:rPr>
          <w:u w:val="single"/>
        </w:rPr>
        <w:t>Il flusso verso i</w:t>
      </w:r>
      <w:r>
        <w:rPr>
          <w:u w:val="single"/>
        </w:rPr>
        <w:t xml:space="preserve">l mercato </w:t>
      </w:r>
      <w:r w:rsidRPr="00C3038B">
        <w:rPr>
          <w:u w:val="single"/>
        </w:rPr>
        <w:t>monetar</w:t>
      </w:r>
      <w:r>
        <w:rPr>
          <w:u w:val="single"/>
        </w:rPr>
        <w:t>io</w:t>
      </w:r>
      <w:r>
        <w:br/>
      </w:r>
      <w:r w:rsidR="00953B8D" w:rsidRPr="008363F8">
        <w:t xml:space="preserve">La continua incertezza sui mercati, unitamente a tassi d’interesse a breve termine superiori al 5%, ha fatto sì che un ammontare record di </w:t>
      </w:r>
      <w:r w:rsidR="00B96A40">
        <w:t>asset</w:t>
      </w:r>
      <w:r w:rsidRPr="008363F8">
        <w:t xml:space="preserve"> </w:t>
      </w:r>
      <w:r w:rsidR="00953B8D" w:rsidRPr="008363F8">
        <w:t>venisse</w:t>
      </w:r>
      <w:r>
        <w:t>ro</w:t>
      </w:r>
      <w:r w:rsidR="00953B8D" w:rsidRPr="008363F8">
        <w:t xml:space="preserve"> trasferit</w:t>
      </w:r>
      <w:r w:rsidR="00B96A40">
        <w:t>i</w:t>
      </w:r>
      <w:r w:rsidR="00953B8D" w:rsidRPr="008363F8">
        <w:t xml:space="preserve"> </w:t>
      </w:r>
      <w:r w:rsidR="00E561C4">
        <w:t>sul</w:t>
      </w:r>
      <w:r w:rsidR="00953B8D" w:rsidRPr="008363F8">
        <w:t xml:space="preserve"> </w:t>
      </w:r>
      <w:r w:rsidR="00E561C4">
        <w:t xml:space="preserve">mercato </w:t>
      </w:r>
      <w:r w:rsidR="00953B8D" w:rsidRPr="008363F8">
        <w:t>monetari</w:t>
      </w:r>
      <w:r w:rsidR="00E561C4">
        <w:t>o</w:t>
      </w:r>
      <w:r w:rsidR="00953B8D" w:rsidRPr="008363F8">
        <w:t>. Secondo Morningstar, al 31 agosto 2023 gli investitori detenevano circa 5</w:t>
      </w:r>
      <w:r w:rsidR="00000429">
        <w:t>.600 miliardi</w:t>
      </w:r>
      <w:r w:rsidR="00953B8D" w:rsidRPr="008363F8">
        <w:t xml:space="preserve"> di </w:t>
      </w:r>
      <w:r w:rsidR="00000429">
        <w:t>dollari</w:t>
      </w:r>
      <w:r w:rsidR="00953B8D" w:rsidRPr="008363F8">
        <w:t xml:space="preserve"> </w:t>
      </w:r>
      <w:r w:rsidR="004753AE">
        <w:t>sui</w:t>
      </w:r>
      <w:r w:rsidR="004753AE" w:rsidRPr="008363F8">
        <w:t xml:space="preserve"> </w:t>
      </w:r>
      <w:r w:rsidR="00E561C4">
        <w:t>conti</w:t>
      </w:r>
      <w:r w:rsidR="00953B8D" w:rsidRPr="008363F8">
        <w:t>, il che rappresenta un incremento di oltre 1</w:t>
      </w:r>
      <w:r w:rsidR="00000429">
        <w:t>.000 miliardi</w:t>
      </w:r>
      <w:r w:rsidR="00953B8D" w:rsidRPr="008363F8">
        <w:t xml:space="preserve"> di </w:t>
      </w:r>
      <w:r w:rsidR="00000429">
        <w:t>dollari</w:t>
      </w:r>
      <w:r w:rsidR="00953B8D" w:rsidRPr="008363F8">
        <w:t xml:space="preserve"> rispetto ai 12 mesi precedenti. In base alle conversazioni coi nostri clienti, abbiamo riscontrato </w:t>
      </w:r>
      <w:r w:rsidR="00953B8D" w:rsidRPr="0088424D">
        <w:rPr>
          <w:b/>
          <w:bCs/>
        </w:rPr>
        <w:t>un aumento significativo della liquidità e de</w:t>
      </w:r>
      <w:r w:rsidR="00E418D4" w:rsidRPr="0088424D">
        <w:rPr>
          <w:b/>
          <w:bCs/>
        </w:rPr>
        <w:t>i proxy della</w:t>
      </w:r>
      <w:r w:rsidR="00953B8D" w:rsidRPr="0088424D">
        <w:rPr>
          <w:b/>
          <w:bCs/>
        </w:rPr>
        <w:t xml:space="preserve"> liquidità detenut</w:t>
      </w:r>
      <w:r w:rsidR="00E418D4" w:rsidRPr="0088424D">
        <w:rPr>
          <w:b/>
          <w:bCs/>
        </w:rPr>
        <w:t>i</w:t>
      </w:r>
      <w:r w:rsidR="00953B8D" w:rsidRPr="0088424D">
        <w:rPr>
          <w:b/>
          <w:bCs/>
        </w:rPr>
        <w:t xml:space="preserve"> nei modelli finanziari</w:t>
      </w:r>
      <w:r w:rsidR="00953B8D" w:rsidRPr="008363F8">
        <w:t xml:space="preserve">. </w:t>
      </w:r>
    </w:p>
    <w:p w14:paraId="505BAC70" w14:textId="09041E9C" w:rsidR="00C84703" w:rsidRDefault="00000429" w:rsidP="00A41D86">
      <w:r w:rsidRPr="0088424D">
        <w:rPr>
          <w:u w:val="single"/>
        </w:rPr>
        <w:t>P</w:t>
      </w:r>
      <w:r w:rsidR="00292083" w:rsidRPr="0088424D">
        <w:rPr>
          <w:u w:val="single"/>
        </w:rPr>
        <w:t>icchi dei tassi</w:t>
      </w:r>
      <w:r w:rsidRPr="0088424D">
        <w:rPr>
          <w:u w:val="single"/>
        </w:rPr>
        <w:t>:</w:t>
      </w:r>
      <w:r w:rsidR="00292083" w:rsidRPr="0088424D">
        <w:rPr>
          <w:u w:val="single"/>
        </w:rPr>
        <w:t xml:space="preserve"> la chiave per la tempistica de</w:t>
      </w:r>
      <w:r w:rsidR="00241F7B" w:rsidRPr="0088424D">
        <w:rPr>
          <w:u w:val="single"/>
        </w:rPr>
        <w:t>i</w:t>
      </w:r>
      <w:r w:rsidR="00292083" w:rsidRPr="0088424D">
        <w:rPr>
          <w:u w:val="single"/>
        </w:rPr>
        <w:t xml:space="preserve"> reinvestiment</w:t>
      </w:r>
      <w:r w:rsidR="00241F7B" w:rsidRPr="0088424D">
        <w:rPr>
          <w:u w:val="single"/>
        </w:rPr>
        <w:t>i</w:t>
      </w:r>
      <w:r w:rsidR="00292083" w:rsidRPr="008363F8">
        <w:rPr>
          <w:b/>
          <w:bCs/>
        </w:rPr>
        <w:t xml:space="preserve"> </w:t>
      </w:r>
      <w:r>
        <w:br/>
        <w:t>I</w:t>
      </w:r>
      <w:r w:rsidR="001D29B9" w:rsidRPr="008363F8">
        <w:t xml:space="preserve">l tasso d’interesse sui Fed Fund e il rendimento dei Treasury USA a </w:t>
      </w:r>
      <w:proofErr w:type="gramStart"/>
      <w:r w:rsidR="001D29B9" w:rsidRPr="008363F8">
        <w:t>10</w:t>
      </w:r>
      <w:proofErr w:type="gramEnd"/>
      <w:r w:rsidR="001D29B9" w:rsidRPr="008363F8">
        <w:t xml:space="preserve"> anni hanno storicamente registrato la tendenza a raggiungere insieme</w:t>
      </w:r>
      <w:r w:rsidR="00E432C0">
        <w:t xml:space="preserve"> </w:t>
      </w:r>
      <w:r w:rsidR="00E432C0" w:rsidRPr="008363F8">
        <w:t>un picco</w:t>
      </w:r>
      <w:r w:rsidR="001D29B9" w:rsidRPr="008363F8">
        <w:t xml:space="preserve">. Tuttavia, dalla nostra ricerca si evince che </w:t>
      </w:r>
      <w:r w:rsidR="001D29B9" w:rsidRPr="0088424D">
        <w:rPr>
          <w:b/>
          <w:bCs/>
        </w:rPr>
        <w:t>gli investitori non devono a</w:t>
      </w:r>
      <w:r w:rsidR="00E432C0" w:rsidRPr="0088424D">
        <w:rPr>
          <w:b/>
          <w:bCs/>
        </w:rPr>
        <w:t>ttendere</w:t>
      </w:r>
      <w:r w:rsidR="001D29B9" w:rsidRPr="0088424D">
        <w:rPr>
          <w:b/>
          <w:bCs/>
        </w:rPr>
        <w:t xml:space="preserve"> il picco per redistribuire la liquidità</w:t>
      </w:r>
      <w:r w:rsidR="001D29B9" w:rsidRPr="008363F8">
        <w:t>.</w:t>
      </w:r>
      <w:r>
        <w:t xml:space="preserve"> </w:t>
      </w:r>
      <w:proofErr w:type="gramStart"/>
      <w:r w:rsidR="009356C0" w:rsidRPr="008363F8">
        <w:t>Il team</w:t>
      </w:r>
      <w:proofErr w:type="gramEnd"/>
      <w:r w:rsidR="009356C0" w:rsidRPr="008363F8">
        <w:t xml:space="preserve"> </w:t>
      </w:r>
      <w:r w:rsidR="00A41D86" w:rsidRPr="008363F8">
        <w:t xml:space="preserve">T. Rowe Price Portfolio Construction </w:t>
      </w:r>
      <w:r w:rsidR="00E071F8" w:rsidRPr="008363F8">
        <w:t>ha analizzato periodi storici simili</w:t>
      </w:r>
      <w:r w:rsidR="00272F03">
        <w:t>,</w:t>
      </w:r>
      <w:r w:rsidR="00E071F8" w:rsidRPr="008363F8">
        <w:t xml:space="preserve"> che potrebbero aiutare i professionisti degli investimenti ad assumere decisioni informate </w:t>
      </w:r>
      <w:r w:rsidR="00272F03">
        <w:t>sulla tempistica per</w:t>
      </w:r>
      <w:r w:rsidR="00E071F8" w:rsidRPr="008363F8">
        <w:t xml:space="preserve"> redistribuire la liquidità sui mercati. </w:t>
      </w:r>
    </w:p>
    <w:p w14:paraId="2ADA8201" w14:textId="1330EC86" w:rsidR="0075205F" w:rsidRDefault="00E071F8" w:rsidP="00A41D86">
      <w:pPr>
        <w:rPr>
          <w:b/>
          <w:bCs/>
        </w:rPr>
      </w:pPr>
      <w:r w:rsidRPr="008363F8">
        <w:t xml:space="preserve">La nostra analisi si è concentrata sui </w:t>
      </w:r>
      <w:r w:rsidRPr="0075205F">
        <w:t>rendimenti medi a 12 mesi degli ultimi quattro picchi dei tassi d’interesse sui Fed Fund</w:t>
      </w:r>
      <w:r w:rsidR="00A02319">
        <w:t>.</w:t>
      </w:r>
      <w:r w:rsidRPr="008363F8">
        <w:t xml:space="preserve"> </w:t>
      </w:r>
      <w:r w:rsidR="00A02319">
        <w:t xml:space="preserve">È stato </w:t>
      </w:r>
      <w:r w:rsidRPr="008363F8">
        <w:t>esaminato l'impatto degli investimenti in diversi punti di partenza</w:t>
      </w:r>
      <w:r w:rsidR="00A02319">
        <w:t>:</w:t>
      </w:r>
      <w:r w:rsidRPr="008363F8">
        <w:t xml:space="preserve"> prima, durante e dopo il picco dei cicli</w:t>
      </w:r>
      <w:r w:rsidR="005A0FA9">
        <w:t xml:space="preserve">. </w:t>
      </w:r>
      <w:r w:rsidR="00FA6AEC">
        <w:t>Come</w:t>
      </w:r>
      <w:r w:rsidR="00FB59C0" w:rsidRPr="008363F8">
        <w:t xml:space="preserve"> date dei picchi dei tassi d’interesse, abbiamo utilizzato febbraio 1995, maggio 2000, giugno 2006 e dicembre 2018. Abbiamo impiegato il T-</w:t>
      </w:r>
      <w:r w:rsidR="00A02319">
        <w:t>B</w:t>
      </w:r>
      <w:r w:rsidR="00FB59C0" w:rsidRPr="008363F8">
        <w:t>ill a 90 giorni per rappresentare la liquidità e gli equivalenti della liquidità nel nostro studio e raffrontato questi ricavi con un tipico portafoglio a rischio moderato</w:t>
      </w:r>
      <w:r w:rsidR="00637CD7">
        <w:t>,</w:t>
      </w:r>
      <w:r w:rsidR="00FB59C0" w:rsidRPr="008363F8">
        <w:t xml:space="preserve"> composto per il 60% da azioni (Indice S&amp;P 50</w:t>
      </w:r>
      <w:r w:rsidR="00A02319">
        <w:t>0</w:t>
      </w:r>
      <w:r w:rsidR="00FB59C0" w:rsidRPr="008363F8">
        <w:t>) e per il 40% da obbligazioni (</w:t>
      </w:r>
      <w:r w:rsidR="00637CD7">
        <w:t xml:space="preserve">Indice </w:t>
      </w:r>
      <w:r w:rsidR="00FB59C0" w:rsidRPr="008363F8">
        <w:t xml:space="preserve">Bloomberg U.S. Aggregate Bond), nonché con una selezione di benchmark </w:t>
      </w:r>
      <w:r w:rsidR="00A02319">
        <w:t xml:space="preserve">di norma utilizzati </w:t>
      </w:r>
      <w:r w:rsidR="00637CD7">
        <w:t>per il</w:t>
      </w:r>
      <w:r w:rsidR="00FB59C0" w:rsidRPr="008363F8">
        <w:t xml:space="preserve"> reddito fisso e </w:t>
      </w:r>
      <w:r w:rsidR="00637CD7">
        <w:t xml:space="preserve">per le </w:t>
      </w:r>
      <w:r w:rsidR="00FB59C0" w:rsidRPr="008363F8">
        <w:t>azion</w:t>
      </w:r>
      <w:r w:rsidR="00637CD7">
        <w:t>i</w:t>
      </w:r>
      <w:r w:rsidR="00FB59C0" w:rsidRPr="008363F8">
        <w:t>.</w:t>
      </w:r>
    </w:p>
    <w:p w14:paraId="5CA6E283" w14:textId="4BBFEA96" w:rsidR="005A0FA9" w:rsidRPr="0088424D" w:rsidRDefault="0075205F" w:rsidP="00A41D86">
      <w:pPr>
        <w:rPr>
          <w:b/>
          <w:bCs/>
        </w:rPr>
      </w:pPr>
      <w:r w:rsidRPr="0088424D">
        <w:rPr>
          <w:u w:val="single"/>
        </w:rPr>
        <w:t xml:space="preserve">Le performance di un portafoglio </w:t>
      </w:r>
      <w:r w:rsidR="005A5C46">
        <w:rPr>
          <w:u w:val="single"/>
        </w:rPr>
        <w:t>bilanciato</w:t>
      </w:r>
      <w:r w:rsidR="005A0FA9" w:rsidRPr="0088424D">
        <w:rPr>
          <w:u w:val="single"/>
        </w:rPr>
        <w:br/>
      </w:r>
      <w:r w:rsidR="00964D21" w:rsidRPr="0088424D">
        <w:t>U</w:t>
      </w:r>
      <w:r w:rsidR="00EF7C61" w:rsidRPr="008363F8">
        <w:t xml:space="preserve">n portafoglio bilanciato 60/40 ha sottoperformato il proxy della liquidità quando è stato investito un anno prima del picco dei Fed Fund. La componente azionaria ha registrato una performance relativamente buona in questo periodo, ma </w:t>
      </w:r>
      <w:r w:rsidR="003E24C1">
        <w:t>quella</w:t>
      </w:r>
      <w:r w:rsidR="00EF7C61" w:rsidRPr="008363F8">
        <w:t xml:space="preserve"> obbligazionaria è rimasta indietro</w:t>
      </w:r>
      <w:r w:rsidR="003E24C1">
        <w:t>,</w:t>
      </w:r>
      <w:r w:rsidR="00EF7C61" w:rsidRPr="008363F8">
        <w:t xml:space="preserve"> poiché i tassi d’interesse erano ancora in rialzo. Il portafoglio bilanciato ha sovraperformato il proxy</w:t>
      </w:r>
      <w:r w:rsidR="00D60F81" w:rsidRPr="008363F8">
        <w:t xml:space="preserve"> della </w:t>
      </w:r>
      <w:r w:rsidR="00EF7C61" w:rsidRPr="008363F8">
        <w:t xml:space="preserve">liquidità </w:t>
      </w:r>
      <w:r w:rsidR="004C23FE">
        <w:t>nei</w:t>
      </w:r>
      <w:r w:rsidR="00D60F81" w:rsidRPr="008363F8">
        <w:t xml:space="preserve"> Treasury bill</w:t>
      </w:r>
      <w:r w:rsidR="00EF7C61" w:rsidRPr="008363F8">
        <w:t xml:space="preserve"> USA a 90 giorni in tutti gli altri punti di partenza. </w:t>
      </w:r>
      <w:r w:rsidR="00EF7C61" w:rsidRPr="0088424D">
        <w:rPr>
          <w:b/>
          <w:bCs/>
        </w:rPr>
        <w:t xml:space="preserve">La </w:t>
      </w:r>
      <w:proofErr w:type="spellStart"/>
      <w:r w:rsidR="00EF7C61" w:rsidRPr="0088424D">
        <w:rPr>
          <w:b/>
          <w:bCs/>
        </w:rPr>
        <w:t>sovraperformance</w:t>
      </w:r>
      <w:proofErr w:type="spellEnd"/>
      <w:r w:rsidR="00EF7C61" w:rsidRPr="0088424D">
        <w:rPr>
          <w:b/>
          <w:bCs/>
        </w:rPr>
        <w:t xml:space="preserve"> è stata maggiore </w:t>
      </w:r>
      <w:r w:rsidR="00036DB1" w:rsidRPr="0088424D">
        <w:rPr>
          <w:b/>
          <w:bCs/>
        </w:rPr>
        <w:t xml:space="preserve">in assoluto </w:t>
      </w:r>
      <w:r w:rsidR="00EF7C61" w:rsidRPr="0088424D">
        <w:rPr>
          <w:b/>
          <w:bCs/>
        </w:rPr>
        <w:t xml:space="preserve">quando si è investito </w:t>
      </w:r>
      <w:r w:rsidR="00100785" w:rsidRPr="0088424D">
        <w:rPr>
          <w:b/>
          <w:bCs/>
        </w:rPr>
        <w:t>durante il</w:t>
      </w:r>
      <w:r w:rsidR="00EF7C61" w:rsidRPr="0088424D">
        <w:rPr>
          <w:b/>
          <w:bCs/>
        </w:rPr>
        <w:t xml:space="preserve"> picco, seguita dai punti di partenza a tre e sei mesi prima del picco, rispettivamente. La </w:t>
      </w:r>
      <w:proofErr w:type="spellStart"/>
      <w:r w:rsidR="00EF7C61" w:rsidRPr="0088424D">
        <w:rPr>
          <w:b/>
          <w:bCs/>
        </w:rPr>
        <w:t>sovraperformance</w:t>
      </w:r>
      <w:proofErr w:type="spellEnd"/>
      <w:r w:rsidR="00EF7C61" w:rsidRPr="0088424D">
        <w:rPr>
          <w:b/>
          <w:bCs/>
        </w:rPr>
        <w:t xml:space="preserve"> è stata </w:t>
      </w:r>
      <w:r w:rsidR="004C23FE" w:rsidRPr="0088424D">
        <w:rPr>
          <w:b/>
          <w:bCs/>
        </w:rPr>
        <w:t>inferiore</w:t>
      </w:r>
      <w:r w:rsidR="00EF7C61" w:rsidRPr="0088424D">
        <w:rPr>
          <w:b/>
          <w:bCs/>
        </w:rPr>
        <w:t xml:space="preserve"> dopo il picco.</w:t>
      </w:r>
    </w:p>
    <w:p w14:paraId="4D353441" w14:textId="77777777" w:rsidR="00A41D86" w:rsidRPr="0088424D" w:rsidRDefault="00A41D86" w:rsidP="00A41D86">
      <w:pPr>
        <w:rPr>
          <w:b/>
          <w:bCs/>
        </w:rPr>
      </w:pPr>
    </w:p>
    <w:p w14:paraId="49B6DC2A" w14:textId="77777777" w:rsidR="005A0FA9" w:rsidRDefault="005A0FA9" w:rsidP="00A41D86"/>
    <w:p w14:paraId="29F30EF6" w14:textId="02740E5C" w:rsidR="007275B0" w:rsidRPr="008363F8" w:rsidRDefault="005A0FA9" w:rsidP="00A41D86">
      <w:r w:rsidRPr="0088424D">
        <w:rPr>
          <w:u w:val="single"/>
        </w:rPr>
        <w:t>La performance del reddito fisso</w:t>
      </w:r>
      <w:r w:rsidRPr="005A0FA9">
        <w:br/>
      </w:r>
      <w:r w:rsidR="00964D21">
        <w:t>Il</w:t>
      </w:r>
      <w:r w:rsidR="00546D00" w:rsidRPr="008363F8">
        <w:t xml:space="preserve"> modello </w:t>
      </w:r>
      <w:r w:rsidR="008D33BA">
        <w:t>nell’ambito dei</w:t>
      </w:r>
      <w:r w:rsidR="00546D00" w:rsidRPr="008363F8">
        <w:t xml:space="preserve"> portafogli a </w:t>
      </w:r>
      <w:r w:rsidR="00546D00" w:rsidRPr="0088424D">
        <w:rPr>
          <w:b/>
          <w:bCs/>
        </w:rPr>
        <w:t>reddito fisso</w:t>
      </w:r>
      <w:r w:rsidR="00546D00" w:rsidRPr="008363F8">
        <w:t xml:space="preserve"> è chiaro: </w:t>
      </w:r>
      <w:r w:rsidR="00546D00" w:rsidRPr="0088424D">
        <w:rPr>
          <w:b/>
          <w:bCs/>
        </w:rPr>
        <w:t>la riallocazione di liquidità tre e sei mesi prima del picco, durante il picco</w:t>
      </w:r>
      <w:r w:rsidR="008D33BA" w:rsidRPr="0088424D">
        <w:rPr>
          <w:b/>
          <w:bCs/>
        </w:rPr>
        <w:t>,</w:t>
      </w:r>
      <w:r w:rsidR="00546D00" w:rsidRPr="0088424D">
        <w:rPr>
          <w:b/>
          <w:bCs/>
        </w:rPr>
        <w:t xml:space="preserve"> e dopo il picco ha sovraperformato in modo significativo il proxy della liquidità</w:t>
      </w:r>
      <w:r w:rsidR="00546D00" w:rsidRPr="008363F8">
        <w:t xml:space="preserve">. Investire troppo presto, un anno prima del picco, </w:t>
      </w:r>
      <w:r w:rsidR="0075205F">
        <w:t>si è rivelata una scelta non</w:t>
      </w:r>
      <w:r w:rsidR="00546D00" w:rsidRPr="008363F8">
        <w:t xml:space="preserve"> ottimale, in quanto il proxy della liquidità ha sovraperformato. Il risultato migliore si è </w:t>
      </w:r>
      <w:r w:rsidR="008D33BA">
        <w:t>registrato</w:t>
      </w:r>
      <w:r w:rsidR="00546D00" w:rsidRPr="008363F8">
        <w:t xml:space="preserve"> quando si è investito in liquidità sei o tre mesi prima del picco, poiché il reddito fisso a più lunga scadenza ha sovraperformato significativamente la liquidità all'avvicinarsi del picco. Un portafoglio a reddito fisso globale ha seguito un percorso </w:t>
      </w:r>
      <w:r w:rsidR="00F30A73">
        <w:t>analogo</w:t>
      </w:r>
      <w:r w:rsidR="00546D00" w:rsidRPr="008363F8">
        <w:t xml:space="preserve"> a quello del reddito fisso statunitense, mentre la performance de</w:t>
      </w:r>
      <w:r w:rsidR="00115D64" w:rsidRPr="008363F8">
        <w:t xml:space="preserve">i titoli </w:t>
      </w:r>
      <w:r w:rsidR="00546D00" w:rsidRPr="008363F8">
        <w:t xml:space="preserve">high yield è stata </w:t>
      </w:r>
      <w:r w:rsidR="00115D64" w:rsidRPr="008363F8">
        <w:t>eterogenea</w:t>
      </w:r>
      <w:r w:rsidR="00546D00" w:rsidRPr="008363F8">
        <w:t>.</w:t>
      </w:r>
      <w:r>
        <w:br/>
      </w:r>
      <w:r>
        <w:br/>
      </w:r>
      <w:r w:rsidRPr="0088424D">
        <w:rPr>
          <w:u w:val="single"/>
        </w:rPr>
        <w:t>La performance dell’azionario</w:t>
      </w:r>
      <w:r w:rsidRPr="0088424D">
        <w:rPr>
          <w:b/>
          <w:bCs/>
          <w:u w:val="single"/>
        </w:rPr>
        <w:br/>
      </w:r>
      <w:r w:rsidR="00964D21">
        <w:t xml:space="preserve">La </w:t>
      </w:r>
      <w:r w:rsidR="007275B0" w:rsidRPr="008363F8">
        <w:t xml:space="preserve">performance delle azioni non è stata così netta come quella del reddito fisso, ma occorrono alcune osservazioni importanti. </w:t>
      </w:r>
      <w:r w:rsidR="007275B0" w:rsidRPr="0088424D">
        <w:rPr>
          <w:b/>
          <w:bCs/>
        </w:rPr>
        <w:t>Gli investimenti in azioni prima del picco hanno generalmente superato la liquidità</w:t>
      </w:r>
      <w:r w:rsidR="007275B0" w:rsidRPr="008363F8">
        <w:t xml:space="preserve">, mentre investire successivamente è stato meno vantaggioso. L'Indice S&amp;P 500 e l'indice Russell 1000 </w:t>
      </w:r>
      <w:proofErr w:type="spellStart"/>
      <w:r w:rsidR="007275B0" w:rsidRPr="008363F8">
        <w:t>Growth</w:t>
      </w:r>
      <w:proofErr w:type="spellEnd"/>
      <w:r w:rsidR="007275B0" w:rsidRPr="008363F8">
        <w:t xml:space="preserve"> hanno sovraperformato in tutti i periodi, tranne quello iniziato tre mesi dopo il picco. L'indice Russell 1000 Value ha sovraperformato in modo significativo da sei mesi prima a tre mesi dopo il picco. Le performance delle small </w:t>
      </w:r>
      <w:proofErr w:type="spellStart"/>
      <w:r w:rsidR="007275B0" w:rsidRPr="008363F8">
        <w:t>cap</w:t>
      </w:r>
      <w:proofErr w:type="spellEnd"/>
      <w:r w:rsidR="007275B0" w:rsidRPr="008363F8">
        <w:t xml:space="preserve"> e delle azioni internazionali sono state eterogenee.</w:t>
      </w:r>
    </w:p>
    <w:p w14:paraId="57899744" w14:textId="2DFC560F" w:rsidR="00AE52E4" w:rsidRDefault="00964D21" w:rsidP="00964D21">
      <w:r w:rsidRPr="0088424D">
        <w:rPr>
          <w:u w:val="single"/>
        </w:rPr>
        <w:t>Perché preferire azioni e bond alla liquidità</w:t>
      </w:r>
      <w:r w:rsidRPr="00964D21">
        <w:rPr>
          <w:b/>
          <w:bCs/>
        </w:rPr>
        <w:br/>
      </w:r>
      <w:r w:rsidR="00176B7E">
        <w:t>S</w:t>
      </w:r>
      <w:r w:rsidR="003151D5">
        <w:t>ono</w:t>
      </w:r>
      <w:r w:rsidR="00AE52E4" w:rsidRPr="008363F8">
        <w:t xml:space="preserve"> diversi </w:t>
      </w:r>
      <w:r w:rsidR="003151D5">
        <w:t xml:space="preserve">i </w:t>
      </w:r>
      <w:r w:rsidR="00AE52E4" w:rsidRPr="008363F8">
        <w:t xml:space="preserve">motivi convincenti per allocare il denaro in investimenti equivalenti </w:t>
      </w:r>
      <w:r w:rsidR="0031152E" w:rsidRPr="008363F8">
        <w:t>alla liquidità</w:t>
      </w:r>
      <w:r w:rsidR="00AE52E4" w:rsidRPr="008363F8">
        <w:t>, tra cui bassa volatilità e</w:t>
      </w:r>
      <w:r w:rsidR="0075205F">
        <w:t>d elevati</w:t>
      </w:r>
      <w:r w:rsidR="00AE52E4" w:rsidRPr="008363F8">
        <w:t xml:space="preserve"> tassi d</w:t>
      </w:r>
      <w:r w:rsidR="0031152E" w:rsidRPr="008363F8">
        <w:t>’</w:t>
      </w:r>
      <w:r w:rsidR="00AE52E4" w:rsidRPr="008363F8">
        <w:t xml:space="preserve">interesse. Tuttavia, </w:t>
      </w:r>
      <w:r w:rsidR="0031152E" w:rsidRPr="008363F8">
        <w:t>s</w:t>
      </w:r>
      <w:r w:rsidR="008958B6">
        <w:t>ono presenti</w:t>
      </w:r>
      <w:r w:rsidR="00AE52E4" w:rsidRPr="008363F8">
        <w:t xml:space="preserve"> anche ragioni per considerare la possibilità di reimpiegare la liquidità in eccesso</w:t>
      </w:r>
      <w:r w:rsidR="008958B6">
        <w:t>. Infatti</w:t>
      </w:r>
      <w:r w:rsidR="0075205F">
        <w:t>,</w:t>
      </w:r>
      <w:r w:rsidR="00AE52E4" w:rsidRPr="008363F8">
        <w:t xml:space="preserve"> </w:t>
      </w:r>
      <w:r w:rsidR="00AE52E4" w:rsidRPr="0088424D">
        <w:rPr>
          <w:b/>
          <w:bCs/>
        </w:rPr>
        <w:t>potremmo essere vicini a un punto</w:t>
      </w:r>
      <w:r w:rsidR="008958B6" w:rsidRPr="0088424D">
        <w:rPr>
          <w:b/>
          <w:bCs/>
        </w:rPr>
        <w:t>,</w:t>
      </w:r>
      <w:r w:rsidR="00AE52E4" w:rsidRPr="0088424D">
        <w:rPr>
          <w:b/>
          <w:bCs/>
        </w:rPr>
        <w:t xml:space="preserve"> in cui i costi di opportunità iniziano a favorire azioni e obbligazioni</w:t>
      </w:r>
      <w:r w:rsidR="00AE52E4" w:rsidRPr="008363F8">
        <w:t xml:space="preserve">. </w:t>
      </w:r>
      <w:r w:rsidR="008958B6">
        <w:t>Laddove si riteness</w:t>
      </w:r>
      <w:r w:rsidR="00AE52E4" w:rsidRPr="008363F8">
        <w:t xml:space="preserve">e che siamo </w:t>
      </w:r>
      <w:r w:rsidR="008958B6">
        <w:t xml:space="preserve">giunti </w:t>
      </w:r>
      <w:r w:rsidR="00AE52E4" w:rsidRPr="008363F8">
        <w:t>al picco</w:t>
      </w:r>
      <w:r w:rsidR="004E47C9" w:rsidRPr="008363F8">
        <w:t>, o prossimi al picco</w:t>
      </w:r>
      <w:r w:rsidR="00AE52E4" w:rsidRPr="008363F8">
        <w:t xml:space="preserve"> del tasso </w:t>
      </w:r>
      <w:r w:rsidR="004E47C9" w:rsidRPr="008363F8">
        <w:t xml:space="preserve">sui Fed </w:t>
      </w:r>
      <w:r w:rsidR="008958B6">
        <w:t>F</w:t>
      </w:r>
      <w:r w:rsidR="004E47C9" w:rsidRPr="008363F8">
        <w:t>und</w:t>
      </w:r>
      <w:r w:rsidR="00AE52E4" w:rsidRPr="008363F8">
        <w:t>, l</w:t>
      </w:r>
      <w:r w:rsidR="004E47C9" w:rsidRPr="008363F8">
        <w:t>’andamento storico</w:t>
      </w:r>
      <w:r w:rsidR="00AE52E4" w:rsidRPr="008363F8">
        <w:t xml:space="preserve"> ci insegna che investire in un portafoglio diversificato 60/40 un po' prima</w:t>
      </w:r>
      <w:r w:rsidR="008958B6">
        <w:t>,</w:t>
      </w:r>
      <w:r w:rsidR="00AE52E4" w:rsidRPr="008363F8">
        <w:t xml:space="preserve"> o durante il picco dei </w:t>
      </w:r>
      <w:r w:rsidR="004E47C9" w:rsidRPr="008363F8">
        <w:t>F</w:t>
      </w:r>
      <w:r w:rsidR="00AE52E4" w:rsidRPr="008363F8">
        <w:t xml:space="preserve">ed </w:t>
      </w:r>
      <w:r w:rsidR="008958B6">
        <w:t>F</w:t>
      </w:r>
      <w:r w:rsidR="00AE52E4" w:rsidRPr="008363F8">
        <w:t xml:space="preserve">und può essere </w:t>
      </w:r>
      <w:r w:rsidR="0075205F">
        <w:t xml:space="preserve">la scelta </w:t>
      </w:r>
      <w:r w:rsidR="00AE52E4" w:rsidRPr="008363F8">
        <w:t>ottimale</w:t>
      </w:r>
      <w:r w:rsidR="0075205F">
        <w:t>. I</w:t>
      </w:r>
      <w:r w:rsidR="00AE52E4" w:rsidRPr="008363F8">
        <w:t xml:space="preserve">nvestire dopo il picco ha comunque </w:t>
      </w:r>
      <w:r w:rsidR="008958B6">
        <w:t xml:space="preserve">generato una </w:t>
      </w:r>
      <w:proofErr w:type="spellStart"/>
      <w:r w:rsidR="008958B6">
        <w:t>sovraperformance</w:t>
      </w:r>
      <w:proofErr w:type="spellEnd"/>
      <w:r w:rsidR="008958B6">
        <w:t xml:space="preserve"> rispetto</w:t>
      </w:r>
      <w:r w:rsidR="00AE52E4" w:rsidRPr="008363F8">
        <w:t xml:space="preserve"> </w:t>
      </w:r>
      <w:r w:rsidR="008958B6">
        <w:t>al</w:t>
      </w:r>
      <w:r w:rsidR="00AE52E4" w:rsidRPr="008363F8">
        <w:t>la liquidità.</w:t>
      </w:r>
    </w:p>
    <w:p w14:paraId="00B9E291" w14:textId="77777777" w:rsidR="00251B06" w:rsidRDefault="00251B06" w:rsidP="00964D21"/>
    <w:p w14:paraId="43665A91" w14:textId="531C83DB" w:rsidR="00251B06" w:rsidRPr="008363F8" w:rsidRDefault="00251B06" w:rsidP="00964D21"/>
    <w:p w14:paraId="6A0E9F5E" w14:textId="77777777" w:rsidR="00D803F9" w:rsidRPr="008363F8" w:rsidRDefault="00D803F9" w:rsidP="00964D21"/>
    <w:sectPr w:rsidR="00D803F9" w:rsidRPr="008363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86"/>
    <w:rsid w:val="00000429"/>
    <w:rsid w:val="000046AB"/>
    <w:rsid w:val="00012305"/>
    <w:rsid w:val="00015D92"/>
    <w:rsid w:val="0002334F"/>
    <w:rsid w:val="000353B1"/>
    <w:rsid w:val="00036DB1"/>
    <w:rsid w:val="0006233A"/>
    <w:rsid w:val="000B0C52"/>
    <w:rsid w:val="000B4446"/>
    <w:rsid w:val="000E4DEC"/>
    <w:rsid w:val="00100785"/>
    <w:rsid w:val="00111191"/>
    <w:rsid w:val="00115D64"/>
    <w:rsid w:val="001310B0"/>
    <w:rsid w:val="00176964"/>
    <w:rsid w:val="00176B7E"/>
    <w:rsid w:val="00184A60"/>
    <w:rsid w:val="001A5D63"/>
    <w:rsid w:val="001C0563"/>
    <w:rsid w:val="001D29B9"/>
    <w:rsid w:val="00241F7B"/>
    <w:rsid w:val="00251B06"/>
    <w:rsid w:val="00272F03"/>
    <w:rsid w:val="00283327"/>
    <w:rsid w:val="00292083"/>
    <w:rsid w:val="0031152E"/>
    <w:rsid w:val="003151D5"/>
    <w:rsid w:val="0034482C"/>
    <w:rsid w:val="00345EF3"/>
    <w:rsid w:val="00365DD8"/>
    <w:rsid w:val="00367F69"/>
    <w:rsid w:val="00387A09"/>
    <w:rsid w:val="003A2818"/>
    <w:rsid w:val="003E24C1"/>
    <w:rsid w:val="00414360"/>
    <w:rsid w:val="00430C54"/>
    <w:rsid w:val="00462EE6"/>
    <w:rsid w:val="004753AE"/>
    <w:rsid w:val="004B7C09"/>
    <w:rsid w:val="004C23FE"/>
    <w:rsid w:val="004E28CD"/>
    <w:rsid w:val="004E47C9"/>
    <w:rsid w:val="005101B7"/>
    <w:rsid w:val="00546D00"/>
    <w:rsid w:val="005A0FA9"/>
    <w:rsid w:val="005A5C46"/>
    <w:rsid w:val="005D0765"/>
    <w:rsid w:val="005D5F6A"/>
    <w:rsid w:val="006001E8"/>
    <w:rsid w:val="00632230"/>
    <w:rsid w:val="00637CD7"/>
    <w:rsid w:val="00641BBB"/>
    <w:rsid w:val="006D2093"/>
    <w:rsid w:val="006D61F6"/>
    <w:rsid w:val="006D7A75"/>
    <w:rsid w:val="00707663"/>
    <w:rsid w:val="00711B6D"/>
    <w:rsid w:val="007275B0"/>
    <w:rsid w:val="0075205F"/>
    <w:rsid w:val="00767762"/>
    <w:rsid w:val="007A39E2"/>
    <w:rsid w:val="007D4EB1"/>
    <w:rsid w:val="00831ED4"/>
    <w:rsid w:val="008363F8"/>
    <w:rsid w:val="0088424D"/>
    <w:rsid w:val="008958B6"/>
    <w:rsid w:val="008D33BA"/>
    <w:rsid w:val="009356C0"/>
    <w:rsid w:val="00953B8D"/>
    <w:rsid w:val="00964D21"/>
    <w:rsid w:val="00976A7A"/>
    <w:rsid w:val="00984D07"/>
    <w:rsid w:val="009B3FC7"/>
    <w:rsid w:val="009D51F2"/>
    <w:rsid w:val="009E3D34"/>
    <w:rsid w:val="00A02319"/>
    <w:rsid w:val="00A33C1A"/>
    <w:rsid w:val="00A41D86"/>
    <w:rsid w:val="00A733E7"/>
    <w:rsid w:val="00A86435"/>
    <w:rsid w:val="00AE52E4"/>
    <w:rsid w:val="00AE7DD4"/>
    <w:rsid w:val="00B96A40"/>
    <w:rsid w:val="00B9775F"/>
    <w:rsid w:val="00BC36C0"/>
    <w:rsid w:val="00BF6CF2"/>
    <w:rsid w:val="00C2007E"/>
    <w:rsid w:val="00C20986"/>
    <w:rsid w:val="00C32861"/>
    <w:rsid w:val="00C4496A"/>
    <w:rsid w:val="00C84703"/>
    <w:rsid w:val="00CE7F19"/>
    <w:rsid w:val="00D60F81"/>
    <w:rsid w:val="00D803F9"/>
    <w:rsid w:val="00DA1424"/>
    <w:rsid w:val="00DE2DCC"/>
    <w:rsid w:val="00E071F8"/>
    <w:rsid w:val="00E1658D"/>
    <w:rsid w:val="00E30E4B"/>
    <w:rsid w:val="00E418D4"/>
    <w:rsid w:val="00E41910"/>
    <w:rsid w:val="00E432C0"/>
    <w:rsid w:val="00E561C4"/>
    <w:rsid w:val="00EC6319"/>
    <w:rsid w:val="00EE2334"/>
    <w:rsid w:val="00EE53FF"/>
    <w:rsid w:val="00EF7C61"/>
    <w:rsid w:val="00F04D36"/>
    <w:rsid w:val="00F30A73"/>
    <w:rsid w:val="00F57C0B"/>
    <w:rsid w:val="00F6555A"/>
    <w:rsid w:val="00FA6AEC"/>
    <w:rsid w:val="00FB27D0"/>
    <w:rsid w:val="00FB59C0"/>
    <w:rsid w:val="00FC56D1"/>
    <w:rsid w:val="00FC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E251"/>
  <w15:chartTrackingRefBased/>
  <w15:docId w15:val="{0B7F46FC-C039-46BD-8DE9-40C23081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09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803F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8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000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68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D8D8D8"/>
                <w:right w:val="none" w:sz="0" w:space="0" w:color="auto"/>
              </w:divBdr>
              <w:divsChild>
                <w:div w:id="12331511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429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D8D8D8"/>
                <w:right w:val="none" w:sz="0" w:space="0" w:color="auto"/>
              </w:divBdr>
              <w:divsChild>
                <w:div w:id="15459448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Massimo Morici</cp:lastModifiedBy>
  <cp:revision>5</cp:revision>
  <dcterms:created xsi:type="dcterms:W3CDTF">2024-02-09T13:18:00Z</dcterms:created>
  <dcterms:modified xsi:type="dcterms:W3CDTF">2024-02-09T13:51:00Z</dcterms:modified>
</cp:coreProperties>
</file>