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43E3" w14:textId="4A5B74C0" w:rsidR="00EC2BE0" w:rsidRPr="00FC0CFC" w:rsidRDefault="00BF4458" w:rsidP="005D7938">
      <w:pPr>
        <w:spacing w:after="0" w:line="240" w:lineRule="auto"/>
        <w:contextualSpacing/>
        <w:rPr>
          <w:b/>
          <w:bCs/>
        </w:rPr>
      </w:pPr>
      <w:r w:rsidRPr="00FC0CFC">
        <w:rPr>
          <w:b/>
          <w:bCs/>
        </w:rPr>
        <w:t>AcomeA</w:t>
      </w:r>
      <w:r w:rsidR="00040E4B" w:rsidRPr="00FC0CFC">
        <w:rPr>
          <w:b/>
          <w:bCs/>
        </w:rPr>
        <w:t xml:space="preserve"> -</w:t>
      </w:r>
      <w:r w:rsidRPr="00FC0CFC">
        <w:rPr>
          <w:b/>
          <w:bCs/>
        </w:rPr>
        <w:t xml:space="preserve"> </w:t>
      </w:r>
      <w:r w:rsidR="00040E4B" w:rsidRPr="00FC0CFC">
        <w:rPr>
          <w:b/>
          <w:bCs/>
        </w:rPr>
        <w:t>Obbligazion</w:t>
      </w:r>
      <w:r w:rsidR="00543854">
        <w:rPr>
          <w:b/>
          <w:bCs/>
        </w:rPr>
        <w:t>ario</w:t>
      </w:r>
      <w:r w:rsidR="00040E4B" w:rsidRPr="00FC0CFC">
        <w:rPr>
          <w:b/>
          <w:bCs/>
        </w:rPr>
        <w:t xml:space="preserve">: </w:t>
      </w:r>
      <w:r w:rsidR="00E4546E">
        <w:rPr>
          <w:b/>
          <w:bCs/>
        </w:rPr>
        <w:t xml:space="preserve">meglio </w:t>
      </w:r>
      <w:r w:rsidR="00252D8B">
        <w:rPr>
          <w:b/>
          <w:bCs/>
        </w:rPr>
        <w:t>aumentare la</w:t>
      </w:r>
      <w:r w:rsidR="0026311C">
        <w:rPr>
          <w:b/>
          <w:bCs/>
        </w:rPr>
        <w:t xml:space="preserve"> liquidi</w:t>
      </w:r>
      <w:r w:rsidR="00252D8B">
        <w:rPr>
          <w:b/>
          <w:bCs/>
        </w:rPr>
        <w:t>tà</w:t>
      </w:r>
      <w:r w:rsidR="0026311C">
        <w:rPr>
          <w:b/>
          <w:bCs/>
        </w:rPr>
        <w:t xml:space="preserve"> </w:t>
      </w:r>
      <w:r w:rsidR="009358EE">
        <w:rPr>
          <w:b/>
          <w:bCs/>
        </w:rPr>
        <w:t>in attesa del taglio dei tassi</w:t>
      </w:r>
      <w:r w:rsidR="00D867D0">
        <w:rPr>
          <w:b/>
          <w:bCs/>
        </w:rPr>
        <w:t>?</w:t>
      </w:r>
    </w:p>
    <w:p w14:paraId="7093A783" w14:textId="77777777" w:rsidR="005D7938" w:rsidRDefault="005D7938" w:rsidP="005D7938">
      <w:pPr>
        <w:spacing w:after="0" w:line="240" w:lineRule="auto"/>
        <w:contextualSpacing/>
      </w:pPr>
    </w:p>
    <w:p w14:paraId="3E513A6C" w14:textId="117BD0FE" w:rsidR="00BF4458" w:rsidRPr="00373FD1" w:rsidRDefault="00BF4458" w:rsidP="005D7938">
      <w:pPr>
        <w:spacing w:after="0" w:line="240" w:lineRule="auto"/>
        <w:contextualSpacing/>
      </w:pPr>
      <w:r>
        <w:t xml:space="preserve">A cura di </w:t>
      </w:r>
      <w:r w:rsidRPr="00FC0CFC">
        <w:rPr>
          <w:b/>
          <w:bCs/>
        </w:rPr>
        <w:t xml:space="preserve">Alberto Foà, </w:t>
      </w:r>
      <w:r w:rsidR="00373FD1" w:rsidRPr="00373FD1">
        <w:rPr>
          <w:b/>
          <w:bCs/>
        </w:rPr>
        <w:t xml:space="preserve">Presidente e responsabile </w:t>
      </w:r>
      <w:proofErr w:type="gramStart"/>
      <w:r w:rsidR="00373FD1" w:rsidRPr="00373FD1">
        <w:rPr>
          <w:b/>
          <w:bCs/>
        </w:rPr>
        <w:t>del team obbligazionario</w:t>
      </w:r>
      <w:proofErr w:type="gramEnd"/>
      <w:r w:rsidR="00373FD1" w:rsidRPr="00373FD1">
        <w:rPr>
          <w:b/>
          <w:bCs/>
        </w:rPr>
        <w:t xml:space="preserve"> di AcomeA SGR</w:t>
      </w:r>
    </w:p>
    <w:p w14:paraId="1136E98F" w14:textId="77777777" w:rsidR="00913E31" w:rsidRPr="00373FD1" w:rsidRDefault="00913E31" w:rsidP="005D7938">
      <w:pPr>
        <w:spacing w:after="0" w:line="240" w:lineRule="auto"/>
        <w:contextualSpacing/>
      </w:pPr>
    </w:p>
    <w:p w14:paraId="35C03CF7" w14:textId="5727A70B" w:rsidR="00913E31" w:rsidRDefault="00C8483F" w:rsidP="00C8483F">
      <w:pPr>
        <w:spacing w:after="0" w:line="240" w:lineRule="auto"/>
        <w:contextualSpacing/>
      </w:pPr>
      <w:r w:rsidRPr="00373FD1">
        <w:br/>
      </w:r>
      <w:r>
        <w:t xml:space="preserve">La tempistica del primo taglio dei tassi resterà al centro dell’attenzione dei mercati nei prossimi mesi. Ma </w:t>
      </w:r>
      <w:r w:rsidR="00913E31" w:rsidRPr="0090461D">
        <w:rPr>
          <w:b/>
          <w:bCs/>
        </w:rPr>
        <w:t xml:space="preserve">la preoccupazione principale </w:t>
      </w:r>
      <w:r>
        <w:rPr>
          <w:b/>
          <w:bCs/>
        </w:rPr>
        <w:t xml:space="preserve">per </w:t>
      </w:r>
      <w:r w:rsidR="00913E31" w:rsidRPr="0090461D">
        <w:rPr>
          <w:b/>
          <w:bCs/>
        </w:rPr>
        <w:t xml:space="preserve">gli investitori obbligazionari </w:t>
      </w:r>
      <w:r w:rsidR="0043267B">
        <w:rPr>
          <w:b/>
          <w:bCs/>
        </w:rPr>
        <w:t xml:space="preserve">è </w:t>
      </w:r>
      <w:r w:rsidR="001052DC">
        <w:rPr>
          <w:b/>
          <w:bCs/>
        </w:rPr>
        <w:t>rivolta</w:t>
      </w:r>
      <w:r w:rsidR="00913E31" w:rsidRPr="0090461D">
        <w:rPr>
          <w:b/>
          <w:bCs/>
        </w:rPr>
        <w:t xml:space="preserve"> </w:t>
      </w:r>
      <w:r w:rsidR="001052DC">
        <w:rPr>
          <w:b/>
          <w:bCs/>
        </w:rPr>
        <w:t xml:space="preserve">su </w:t>
      </w:r>
      <w:r>
        <w:rPr>
          <w:b/>
          <w:bCs/>
        </w:rPr>
        <w:t>un altro fronte: quello de</w:t>
      </w:r>
      <w:r w:rsidR="0043267B">
        <w:rPr>
          <w:b/>
          <w:bCs/>
        </w:rPr>
        <w:t>ll’evoluzione</w:t>
      </w:r>
      <w:r w:rsidR="00913E31" w:rsidRPr="0090461D">
        <w:rPr>
          <w:b/>
          <w:bCs/>
        </w:rPr>
        <w:t xml:space="preserve"> </w:t>
      </w:r>
      <w:r w:rsidR="0043267B">
        <w:rPr>
          <w:b/>
          <w:bCs/>
        </w:rPr>
        <w:t>d</w:t>
      </w:r>
      <w:r w:rsidR="00913E31" w:rsidRPr="0090461D">
        <w:rPr>
          <w:b/>
          <w:bCs/>
        </w:rPr>
        <w:t>ell’offerta netta sul mercato dei titoli di Stato</w:t>
      </w:r>
      <w:r>
        <w:rPr>
          <w:b/>
          <w:bCs/>
        </w:rPr>
        <w:t>,</w:t>
      </w:r>
      <w:r w:rsidR="00913E31" w:rsidRPr="0090461D">
        <w:rPr>
          <w:b/>
          <w:bCs/>
        </w:rPr>
        <w:t xml:space="preserve"> che potrebbe avere ripercussioni sulla curva dei rendimenti</w:t>
      </w:r>
      <w:r w:rsidR="00913E31">
        <w:t xml:space="preserve"> nei Paesi sviluppati. Un ulteriore </w:t>
      </w:r>
      <w:r w:rsidR="007D258C">
        <w:t xml:space="preserve">fattore di rischio </w:t>
      </w:r>
      <w:r w:rsidR="00913E31" w:rsidRPr="0039538A">
        <w:t xml:space="preserve">per i Treasuries </w:t>
      </w:r>
      <w:r w:rsidR="007D258C">
        <w:t>è rappresentato</w:t>
      </w:r>
      <w:r w:rsidR="0043267B">
        <w:t xml:space="preserve"> inoltre</w:t>
      </w:r>
      <w:r w:rsidR="007D258C">
        <w:t xml:space="preserve"> da </w:t>
      </w:r>
      <w:r w:rsidR="00913E31" w:rsidRPr="0039538A">
        <w:t>una probabile rielezione di</w:t>
      </w:r>
      <w:r w:rsidR="0043267B">
        <w:t xml:space="preserve"> Donald</w:t>
      </w:r>
      <w:r w:rsidR="00913E31" w:rsidRPr="0039538A">
        <w:t xml:space="preserve"> Trump</w:t>
      </w:r>
      <w:r w:rsidR="007D258C">
        <w:t>, che</w:t>
      </w:r>
      <w:r w:rsidR="00913E31" w:rsidRPr="0039538A">
        <w:t xml:space="preserve"> ha in programma nuovi tagli alle tasse </w:t>
      </w:r>
      <w:r w:rsidR="007D258C">
        <w:t xml:space="preserve">da finanziare </w:t>
      </w:r>
      <w:r w:rsidR="00913E31" w:rsidRPr="0039538A">
        <w:t>in deficit</w:t>
      </w:r>
      <w:r w:rsidR="00913E31">
        <w:t xml:space="preserve">. Le nuove emissioni </w:t>
      </w:r>
      <w:r w:rsidR="0043267B">
        <w:t xml:space="preserve">governative </w:t>
      </w:r>
      <w:r w:rsidR="00913E31">
        <w:t>per finanziare le manovre fiscali</w:t>
      </w:r>
      <w:r w:rsidR="007D258C">
        <w:t>, infatti,</w:t>
      </w:r>
      <w:r w:rsidR="00913E31">
        <w:t xml:space="preserve"> non saranno più sostenute dalle banche centrali, le quali nei prossimi mesi continueranno invece a dismettere i titol</w:t>
      </w:r>
      <w:r w:rsidR="0043267B">
        <w:t>i</w:t>
      </w:r>
      <w:r w:rsidR="00913E31">
        <w:t xml:space="preserve"> in portafoglio</w:t>
      </w:r>
      <w:r w:rsidR="007D258C">
        <w:t xml:space="preserve"> (Quantitative </w:t>
      </w:r>
      <w:proofErr w:type="spellStart"/>
      <w:r w:rsidR="007D258C">
        <w:t>Tightening</w:t>
      </w:r>
      <w:proofErr w:type="spellEnd"/>
      <w:r w:rsidR="007D258C">
        <w:t>)</w:t>
      </w:r>
      <w:r w:rsidR="00913E31">
        <w:t xml:space="preserve">. Negli USA sono attese emissioni nette quest’anno per 1.920 miliardi </w:t>
      </w:r>
      <w:r>
        <w:t xml:space="preserve">di dollari </w:t>
      </w:r>
      <w:r w:rsidR="00913E31">
        <w:t>dai 1.427 miliardi nel 2023</w:t>
      </w:r>
      <w:r w:rsidR="0043267B">
        <w:t xml:space="preserve"> (+34,6%)</w:t>
      </w:r>
      <w:r w:rsidR="00913E31">
        <w:t xml:space="preserve">; in Italia </w:t>
      </w:r>
      <w:r w:rsidR="007D258C">
        <w:t xml:space="preserve">per </w:t>
      </w:r>
      <w:r w:rsidR="00913E31">
        <w:t xml:space="preserve">150 miliardi </w:t>
      </w:r>
      <w:r>
        <w:t xml:space="preserve">di euro </w:t>
      </w:r>
      <w:r w:rsidR="00913E31">
        <w:t>da 122 miliardi</w:t>
      </w:r>
      <w:r w:rsidR="0043267B">
        <w:t xml:space="preserve"> (+30%)</w:t>
      </w:r>
      <w:r w:rsidR="00913E31">
        <w:t>.</w:t>
      </w:r>
      <w:r>
        <w:t xml:space="preserve"> Cinque anni fa</w:t>
      </w:r>
      <w:r w:rsidR="001052DC">
        <w:t>, ancora in pien</w:t>
      </w:r>
      <w:r w:rsidR="007D258C">
        <w:t>o Q</w:t>
      </w:r>
      <w:r w:rsidR="001052DC">
        <w:t xml:space="preserve">uantitative </w:t>
      </w:r>
      <w:proofErr w:type="spellStart"/>
      <w:r w:rsidR="007D258C">
        <w:t>E</w:t>
      </w:r>
      <w:r w:rsidR="001052DC">
        <w:t>asing</w:t>
      </w:r>
      <w:proofErr w:type="spellEnd"/>
      <w:r w:rsidR="001052DC">
        <w:t>,</w:t>
      </w:r>
      <w:r>
        <w:t xml:space="preserve"> l’offerta netta era negativa</w:t>
      </w:r>
      <w:r w:rsidR="0043267B">
        <w:t xml:space="preserve"> </w:t>
      </w:r>
      <w:r w:rsidR="007D258C">
        <w:t>negli USA</w:t>
      </w:r>
      <w:r w:rsidR="0043267B">
        <w:t>, per</w:t>
      </w:r>
      <w:r>
        <w:t xml:space="preserve"> </w:t>
      </w:r>
      <w:r w:rsidR="001052DC">
        <w:t>-</w:t>
      </w:r>
      <w:r>
        <w:t>449 miliardi di dollari</w:t>
      </w:r>
      <w:r w:rsidR="0043267B">
        <w:t>, e anche</w:t>
      </w:r>
      <w:r w:rsidR="001052DC">
        <w:t xml:space="preserve"> </w:t>
      </w:r>
      <w:r w:rsidR="007D258C">
        <w:t>i</w:t>
      </w:r>
      <w:r w:rsidR="001052DC">
        <w:t>n Italia</w:t>
      </w:r>
      <w:r w:rsidR="0043267B">
        <w:t>, per</w:t>
      </w:r>
      <w:r w:rsidR="001052DC">
        <w:t xml:space="preserve"> -42 miliardi.</w:t>
      </w:r>
    </w:p>
    <w:p w14:paraId="783FF52B" w14:textId="77777777" w:rsidR="00AF37AA" w:rsidRDefault="00AF37AA" w:rsidP="00C8483F">
      <w:pPr>
        <w:spacing w:after="0" w:line="240" w:lineRule="auto"/>
        <w:contextualSpacing/>
      </w:pPr>
    </w:p>
    <w:p w14:paraId="43B837B8" w14:textId="60C9662A" w:rsidR="00AF37AA" w:rsidRDefault="00AF37AA" w:rsidP="0039538A">
      <w:pPr>
        <w:spacing w:after="0" w:line="240" w:lineRule="auto"/>
        <w:contextualSpacing/>
        <w:jc w:val="center"/>
      </w:pPr>
      <w:r w:rsidRPr="007155CD">
        <w:rPr>
          <w:noProof/>
        </w:rPr>
        <w:drawing>
          <wp:inline distT="0" distB="0" distL="0" distR="0" wp14:anchorId="2961521E" wp14:editId="121AF8D0">
            <wp:extent cx="5047699" cy="2702965"/>
            <wp:effectExtent l="0" t="0" r="635" b="2540"/>
            <wp:docPr id="1782801537" name="Immagine 1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73549" name="Immagine 1" descr="Immagine che contiene testo, schermata, numero, Caratter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177" cy="27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FA72C" w14:textId="77777777" w:rsidR="00913E31" w:rsidRDefault="00913E31" w:rsidP="00913E31">
      <w:pPr>
        <w:spacing w:after="0" w:line="240" w:lineRule="auto"/>
        <w:contextualSpacing/>
      </w:pPr>
    </w:p>
    <w:p w14:paraId="46ED1BD9" w14:textId="39D26BF9" w:rsidR="00913E31" w:rsidRDefault="0043267B" w:rsidP="00913E31">
      <w:pPr>
        <w:spacing w:after="0" w:line="240" w:lineRule="auto"/>
        <w:contextualSpacing/>
      </w:pPr>
      <w:r>
        <w:rPr>
          <w:b/>
          <w:bCs/>
        </w:rPr>
        <w:t>Nei prossimi mesi il</w:t>
      </w:r>
      <w:r w:rsidR="00913E31">
        <w:rPr>
          <w:b/>
          <w:bCs/>
        </w:rPr>
        <w:t xml:space="preserve"> principale rischio per l’Eurozona,</w:t>
      </w:r>
      <w:r w:rsidR="001052DC">
        <w:rPr>
          <w:b/>
          <w:bCs/>
        </w:rPr>
        <w:t xml:space="preserve"> dal punto di vista macro,</w:t>
      </w:r>
      <w:r w:rsidR="00913E31">
        <w:rPr>
          <w:b/>
          <w:bCs/>
        </w:rPr>
        <w:t xml:space="preserve"> è c</w:t>
      </w:r>
      <w:r w:rsidR="00913E31" w:rsidRPr="0090461D">
        <w:rPr>
          <w:b/>
          <w:bCs/>
        </w:rPr>
        <w:t>he il rigore fiscale imposto dalla Germania possa fiaccare ulteriormente la crescita dell’</w:t>
      </w:r>
      <w:r w:rsidR="00913E31">
        <w:rPr>
          <w:b/>
          <w:bCs/>
        </w:rPr>
        <w:t>area euro</w:t>
      </w:r>
      <w:r w:rsidR="00913E31">
        <w:t xml:space="preserve">, come già visto nel decennio precedente alla pandemia. Grazie a una politica fiscale più aggressiva, gli Stati Uniti potranno contare </w:t>
      </w:r>
      <w:r>
        <w:t xml:space="preserve">invece </w:t>
      </w:r>
      <w:r w:rsidR="00913E31">
        <w:t>su ritmi di crescita più sostenuti. La crescita dei salari reali negli USA ha sostenuto i consumi</w:t>
      </w:r>
      <w:r>
        <w:t xml:space="preserve"> negli scorsi trimestri</w:t>
      </w:r>
      <w:r w:rsidR="00913E31">
        <w:t>, i quali continuano a crescere in linea con l’andamento dell’economia</w:t>
      </w:r>
      <w:r>
        <w:t xml:space="preserve"> americana</w:t>
      </w:r>
      <w:r w:rsidR="00913E31">
        <w:t xml:space="preserve">. </w:t>
      </w:r>
      <w:r>
        <w:t>La contrazione dei consumi in</w:t>
      </w:r>
      <w:r w:rsidR="00913E31">
        <w:t xml:space="preserve"> Europa potrebbe </w:t>
      </w:r>
      <w:r>
        <w:t xml:space="preserve">avere un </w:t>
      </w:r>
      <w:r w:rsidR="00913E31">
        <w:t>impatt</w:t>
      </w:r>
      <w:r>
        <w:t xml:space="preserve">o </w:t>
      </w:r>
      <w:r w:rsidR="00913E31">
        <w:t>negativ</w:t>
      </w:r>
      <w:r>
        <w:t>o</w:t>
      </w:r>
      <w:r w:rsidR="00913E31">
        <w:t xml:space="preserve"> su alcuni settori in Borsa e sulle obbligazioni corporate. </w:t>
      </w:r>
    </w:p>
    <w:p w14:paraId="264BD9AE" w14:textId="77777777" w:rsidR="00913E31" w:rsidRDefault="00913E31" w:rsidP="005D7938">
      <w:pPr>
        <w:spacing w:after="0" w:line="240" w:lineRule="auto"/>
        <w:contextualSpacing/>
      </w:pPr>
    </w:p>
    <w:p w14:paraId="38E9475D" w14:textId="77777777" w:rsidR="00173B4E" w:rsidRDefault="001052DC" w:rsidP="00913E31">
      <w:pPr>
        <w:spacing w:after="0" w:line="240" w:lineRule="auto"/>
        <w:contextualSpacing/>
      </w:pPr>
      <w:r>
        <w:t>Considerando l’attuale scenario, la</w:t>
      </w:r>
      <w:r w:rsidR="00913E31">
        <w:t xml:space="preserve"> </w:t>
      </w:r>
      <w:r w:rsidR="00913E31" w:rsidRPr="0039538A">
        <w:rPr>
          <w:b/>
          <w:bCs/>
        </w:rPr>
        <w:t xml:space="preserve">situazione del mercato obbligazionario </w:t>
      </w:r>
      <w:r w:rsidRPr="0039538A">
        <w:rPr>
          <w:b/>
          <w:bCs/>
        </w:rPr>
        <w:t>risulta</w:t>
      </w:r>
      <w:r w:rsidR="00913E31" w:rsidRPr="0039538A">
        <w:rPr>
          <w:b/>
          <w:bCs/>
        </w:rPr>
        <w:t xml:space="preserve"> meno </w:t>
      </w:r>
      <w:r w:rsidR="0043267B" w:rsidRPr="0039538A">
        <w:rPr>
          <w:b/>
          <w:bCs/>
        </w:rPr>
        <w:t>favorevole</w:t>
      </w:r>
      <w:r w:rsidR="00913E31" w:rsidRPr="0039538A">
        <w:rPr>
          <w:b/>
          <w:bCs/>
        </w:rPr>
        <w:t xml:space="preserve"> rispetto a</w:t>
      </w:r>
      <w:r w:rsidRPr="0039538A">
        <w:rPr>
          <w:b/>
          <w:bCs/>
        </w:rPr>
        <w:t xml:space="preserve"> quella di </w:t>
      </w:r>
      <w:r w:rsidR="00913E31" w:rsidRPr="0039538A">
        <w:rPr>
          <w:b/>
          <w:bCs/>
        </w:rPr>
        <w:t>quattro mesi fa</w:t>
      </w:r>
      <w:r>
        <w:t>, con</w:t>
      </w:r>
      <w:r w:rsidR="007D258C">
        <w:t xml:space="preserve"> </w:t>
      </w:r>
      <w:r w:rsidR="00915FF2">
        <w:t>maggiori</w:t>
      </w:r>
      <w:r w:rsidR="007D258C">
        <w:t xml:space="preserve"> spazi</w:t>
      </w:r>
      <w:r w:rsidR="0043267B">
        <w:t xml:space="preserve"> </w:t>
      </w:r>
      <w:r w:rsidR="00913E31">
        <w:t>in Europa, soprattutto se i tassi scenderanno più rapidamente di quanto previsto</w:t>
      </w:r>
      <w:r>
        <w:t>.</w:t>
      </w:r>
      <w:r w:rsidR="00913E31">
        <w:t xml:space="preserve"> Non vediamo particolare valore sulla parte lunga dei titoli di Stato dei paesi sviluppati. Il Bund resta un bene rifugio, forte di un rapporto debito Pil inferiore al 60%, ma con limitate prospettive di un potenziale rialzo. Il grosso della riduzione degli spread sui titoli corporate, inoltre, è già avvenuto negli scorsi mesi, lasciando tuttavia alcune opportunità sul mercato. </w:t>
      </w:r>
    </w:p>
    <w:p w14:paraId="20DF3411" w14:textId="77777777" w:rsidR="00173B4E" w:rsidRDefault="00173B4E" w:rsidP="00913E31">
      <w:pPr>
        <w:spacing w:after="0" w:line="240" w:lineRule="auto"/>
        <w:contextualSpacing/>
      </w:pPr>
    </w:p>
    <w:p w14:paraId="53A07D57" w14:textId="779EBDFB" w:rsidR="00913E31" w:rsidRDefault="007A377B" w:rsidP="00913E31">
      <w:pPr>
        <w:spacing w:after="0" w:line="240" w:lineRule="auto"/>
        <w:contextualSpacing/>
      </w:pPr>
      <w:r>
        <w:t>Pertanto, abbiamo ridotto la duration dei portafogli</w:t>
      </w:r>
      <w:r w:rsidR="00173B4E">
        <w:t xml:space="preserve"> e</w:t>
      </w:r>
      <w:r>
        <w:t xml:space="preserve"> alleggerito alcune posizioni, dopo la corsa degli ultimi quattro mesi, incrementa</w:t>
      </w:r>
      <w:r w:rsidR="00173B4E">
        <w:t>nd</w:t>
      </w:r>
      <w:r>
        <w:t>o la liquidità</w:t>
      </w:r>
      <w:r w:rsidR="00480DCF">
        <w:t xml:space="preserve"> o i titoli equivalenti</w:t>
      </w:r>
      <w:r>
        <w:t xml:space="preserve">, per permetterci di cogliere qualche situazione particolare che potrà portare rendimento. </w:t>
      </w:r>
      <w:r w:rsidR="00480DCF">
        <w:t>L’unica posizione più lunga</w:t>
      </w:r>
      <w:r>
        <w:t xml:space="preserve"> </w:t>
      </w:r>
      <w:r w:rsidR="00480DCF">
        <w:t>di</w:t>
      </w:r>
      <w:r>
        <w:t xml:space="preserve"> duration</w:t>
      </w:r>
      <w:r w:rsidR="00480DCF">
        <w:t xml:space="preserve"> è stata presa</w:t>
      </w:r>
      <w:r>
        <w:t xml:space="preserve"> sui mercati emergenti in valuta locale con esposizione a Brasile, Colombia, Messico e Sud Africa.</w:t>
      </w:r>
    </w:p>
    <w:p w14:paraId="653297C2" w14:textId="5C31304D" w:rsidR="00480DCF" w:rsidRDefault="00480DCF" w:rsidP="00913E31">
      <w:pPr>
        <w:spacing w:after="0" w:line="240" w:lineRule="auto"/>
        <w:contextualSpacing/>
      </w:pPr>
      <w:r>
        <w:lastRenderedPageBreak/>
        <w:t>L’altra area considerevole nei portafogli fa riferimento al settore bancario europeo che ancora mostra rendimenti attesi interessanti.</w:t>
      </w:r>
    </w:p>
    <w:p w14:paraId="1581B9C0" w14:textId="77777777" w:rsidR="00913E31" w:rsidRDefault="00913E31" w:rsidP="00913E31">
      <w:pPr>
        <w:spacing w:after="0" w:line="240" w:lineRule="auto"/>
        <w:contextualSpacing/>
      </w:pPr>
    </w:p>
    <w:p w14:paraId="645C00B6" w14:textId="5DB9560E" w:rsidR="00913E31" w:rsidRDefault="00913E31" w:rsidP="00913E31">
      <w:pPr>
        <w:spacing w:after="0" w:line="240" w:lineRule="auto"/>
        <w:contextualSpacing/>
      </w:pPr>
      <w:r w:rsidRPr="00385C72">
        <w:rPr>
          <w:u w:val="single"/>
        </w:rPr>
        <w:t>L’</w:t>
      </w:r>
      <w:r>
        <w:rPr>
          <w:u w:val="single"/>
        </w:rPr>
        <w:t>attesa del taglio dei tassi</w:t>
      </w:r>
    </w:p>
    <w:p w14:paraId="18D891F5" w14:textId="0E15BDF0" w:rsidR="00DF69D1" w:rsidRDefault="00913E31" w:rsidP="005D7938">
      <w:pPr>
        <w:spacing w:after="0" w:line="240" w:lineRule="auto"/>
        <w:contextualSpacing/>
        <w:rPr>
          <w:b/>
          <w:bCs/>
        </w:rPr>
      </w:pPr>
      <w:r>
        <w:t xml:space="preserve">Il </w:t>
      </w:r>
      <w:r w:rsidR="003C42BF">
        <w:t>rapido aumento</w:t>
      </w:r>
      <w:r w:rsidR="00896703">
        <w:t xml:space="preserve"> </w:t>
      </w:r>
      <w:r w:rsidR="00F0655B">
        <w:t xml:space="preserve">dell’inflazione </w:t>
      </w:r>
      <w:r w:rsidR="003C42BF">
        <w:t>in tutto i</w:t>
      </w:r>
      <w:r w:rsidR="00F0655B">
        <w:t>l mondo sviluppato</w:t>
      </w:r>
      <w:r>
        <w:t xml:space="preserve"> ha spinto </w:t>
      </w:r>
      <w:r w:rsidR="00F0655B" w:rsidRPr="00CB250D">
        <w:rPr>
          <w:b/>
          <w:bCs/>
        </w:rPr>
        <w:t>le banche centrali</w:t>
      </w:r>
      <w:r>
        <w:rPr>
          <w:b/>
          <w:bCs/>
        </w:rPr>
        <w:t xml:space="preserve"> </w:t>
      </w:r>
      <w:r w:rsidR="001052DC">
        <w:rPr>
          <w:b/>
          <w:bCs/>
        </w:rPr>
        <w:t xml:space="preserve">negli ultimi 18 mesi </w:t>
      </w:r>
      <w:r>
        <w:rPr>
          <w:b/>
          <w:bCs/>
        </w:rPr>
        <w:t xml:space="preserve">a cambiare direzione </w:t>
      </w:r>
      <w:r w:rsidR="00AF37AA">
        <w:rPr>
          <w:b/>
          <w:bCs/>
        </w:rPr>
        <w:t>in termini di</w:t>
      </w:r>
      <w:r>
        <w:rPr>
          <w:b/>
          <w:bCs/>
        </w:rPr>
        <w:t xml:space="preserve"> politica monetaria.</w:t>
      </w:r>
      <w:r w:rsidR="00F0655B" w:rsidRPr="00CB250D">
        <w:rPr>
          <w:b/>
          <w:bCs/>
        </w:rPr>
        <w:t xml:space="preserve"> </w:t>
      </w:r>
      <w:r>
        <w:rPr>
          <w:b/>
          <w:bCs/>
        </w:rPr>
        <w:t xml:space="preserve">La reazione, all’inizio </w:t>
      </w:r>
      <w:r w:rsidR="00F0655B" w:rsidRPr="00CB250D">
        <w:rPr>
          <w:b/>
          <w:bCs/>
        </w:rPr>
        <w:t>un po’ timida,</w:t>
      </w:r>
      <w:r>
        <w:rPr>
          <w:b/>
          <w:bCs/>
        </w:rPr>
        <w:t xml:space="preserve"> </w:t>
      </w:r>
      <w:r w:rsidR="002D0DD2" w:rsidRPr="00CB250D">
        <w:rPr>
          <w:b/>
          <w:bCs/>
        </w:rPr>
        <w:t>si è rivelata</w:t>
      </w:r>
      <w:r w:rsidR="00F0655B" w:rsidRPr="00CB250D">
        <w:rPr>
          <w:b/>
          <w:bCs/>
        </w:rPr>
        <w:t xml:space="preserve"> </w:t>
      </w:r>
      <w:r>
        <w:rPr>
          <w:b/>
          <w:bCs/>
        </w:rPr>
        <w:t xml:space="preserve">poi </w:t>
      </w:r>
      <w:r w:rsidR="00F0655B" w:rsidRPr="00CB250D">
        <w:rPr>
          <w:b/>
          <w:bCs/>
        </w:rPr>
        <w:t>molto decisa</w:t>
      </w:r>
      <w:r w:rsidR="00F0655B">
        <w:t xml:space="preserve">. </w:t>
      </w:r>
      <w:r w:rsidR="005D7938">
        <w:t>P</w:t>
      </w:r>
      <w:r w:rsidR="00F0655B">
        <w:t>arallelamente, le banche centrali</w:t>
      </w:r>
      <w:r w:rsidR="00053D8F">
        <w:t xml:space="preserve"> </w:t>
      </w:r>
      <w:r w:rsidR="00771D9A">
        <w:t xml:space="preserve">hanno </w:t>
      </w:r>
      <w:r w:rsidR="00F0655B">
        <w:t xml:space="preserve">iniziato una politica </w:t>
      </w:r>
      <w:r w:rsidR="00771D9A">
        <w:t xml:space="preserve">monetaria </w:t>
      </w:r>
      <w:r w:rsidR="00F0655B">
        <w:t>restrittiv</w:t>
      </w:r>
      <w:r w:rsidR="001052DC">
        <w:t>a</w:t>
      </w:r>
      <w:r w:rsidR="00F0655B">
        <w:t xml:space="preserve">, rimettendo sul mercato </w:t>
      </w:r>
      <w:r w:rsidR="003C42BF">
        <w:t>parte dei</w:t>
      </w:r>
      <w:r w:rsidR="00F0655B">
        <w:t xml:space="preserve"> </w:t>
      </w:r>
      <w:r w:rsidR="00053D8F">
        <w:t xml:space="preserve">titoli </w:t>
      </w:r>
      <w:r w:rsidR="003C42BF">
        <w:t xml:space="preserve">di Stato </w:t>
      </w:r>
      <w:r w:rsidR="00F0655B">
        <w:t>che avevano acquistato nel corso degli</w:t>
      </w:r>
      <w:r w:rsidR="00053D8F">
        <w:t xml:space="preserve"> anni</w:t>
      </w:r>
      <w:r w:rsidR="00F0655B">
        <w:t>. La risalita dei tassi di interesse e la r</w:t>
      </w:r>
      <w:r w:rsidR="00AB7B8B">
        <w:t>e</w:t>
      </w:r>
      <w:r w:rsidR="00F0655B">
        <w:t>str</w:t>
      </w:r>
      <w:r w:rsidR="00AB7B8B">
        <w:t>i</w:t>
      </w:r>
      <w:r w:rsidR="00F0655B">
        <w:t xml:space="preserve">zione della liquidità hanno </w:t>
      </w:r>
      <w:r w:rsidR="00053D8F">
        <w:t>causato</w:t>
      </w:r>
      <w:r w:rsidR="00F0655B">
        <w:t xml:space="preserve"> uno shock sui mercati obbligazionari</w:t>
      </w:r>
      <w:r w:rsidR="001052DC">
        <w:t>,</w:t>
      </w:r>
      <w:r>
        <w:t xml:space="preserve"> che si sono ripresi </w:t>
      </w:r>
      <w:r w:rsidR="007155CD">
        <w:t xml:space="preserve">solo </w:t>
      </w:r>
      <w:r>
        <w:t>lo scorso</w:t>
      </w:r>
      <w:r w:rsidR="00292142">
        <w:t xml:space="preserve"> </w:t>
      </w:r>
      <w:r w:rsidR="00F0655B" w:rsidRPr="0079279F">
        <w:rPr>
          <w:b/>
          <w:bCs/>
        </w:rPr>
        <w:t>settembre</w:t>
      </w:r>
      <w:r>
        <w:rPr>
          <w:b/>
          <w:bCs/>
        </w:rPr>
        <w:t>, quando</w:t>
      </w:r>
      <w:r w:rsidR="00F0655B" w:rsidRPr="0079279F">
        <w:rPr>
          <w:b/>
          <w:bCs/>
        </w:rPr>
        <w:t xml:space="preserve"> hanno cominciato a credere</w:t>
      </w:r>
      <w:r w:rsidR="00F0655B">
        <w:t xml:space="preserve">, supportati da </w:t>
      </w:r>
      <w:r w:rsidR="00053D8F">
        <w:t xml:space="preserve">alcune </w:t>
      </w:r>
      <w:r w:rsidR="00F0655B">
        <w:t>dichiarazioni d</w:t>
      </w:r>
      <w:r w:rsidR="00053D8F">
        <w:t>ei</w:t>
      </w:r>
      <w:r w:rsidR="00F0655B">
        <w:t xml:space="preserve"> membri delle banche centrali</w:t>
      </w:r>
      <w:r w:rsidR="00F0655B" w:rsidRPr="00771D9A">
        <w:t>,</w:t>
      </w:r>
      <w:r w:rsidR="00F0655B" w:rsidRPr="0079279F">
        <w:rPr>
          <w:b/>
          <w:bCs/>
        </w:rPr>
        <w:t xml:space="preserve"> a un</w:t>
      </w:r>
      <w:r w:rsidR="00053D8F" w:rsidRPr="0079279F">
        <w:rPr>
          <w:b/>
          <w:bCs/>
        </w:rPr>
        <w:t xml:space="preserve"> imminente</w:t>
      </w:r>
      <w:r w:rsidR="00F0655B" w:rsidRPr="0079279F">
        <w:rPr>
          <w:b/>
          <w:bCs/>
        </w:rPr>
        <w:t xml:space="preserve"> taglio dei tassi</w:t>
      </w:r>
      <w:r w:rsidR="007155CD">
        <w:rPr>
          <w:b/>
          <w:bCs/>
        </w:rPr>
        <w:t xml:space="preserve">, </w:t>
      </w:r>
      <w:r w:rsidR="00292142" w:rsidRPr="0079279F">
        <w:rPr>
          <w:b/>
          <w:bCs/>
        </w:rPr>
        <w:t>che ha sostenuto il rally obbligazionario del quarto trimestre 2023</w:t>
      </w:r>
      <w:r w:rsidR="00292142" w:rsidRPr="003A3F61">
        <w:t>.</w:t>
      </w:r>
      <w:r w:rsidR="001052DC" w:rsidRPr="003A3F61">
        <w:t xml:space="preserve"> </w:t>
      </w:r>
      <w:r w:rsidR="003C42BF">
        <w:t>Il sentiment positivo</w:t>
      </w:r>
      <w:r w:rsidR="00AB7B8B">
        <w:t xml:space="preserve"> </w:t>
      </w:r>
      <w:r w:rsidR="001052DC">
        <w:t>emerge</w:t>
      </w:r>
      <w:r w:rsidR="003C42BF">
        <w:t xml:space="preserve"> </w:t>
      </w:r>
      <w:r w:rsidR="00AF37AA">
        <w:t>d</w:t>
      </w:r>
      <w:r w:rsidR="00771D9A">
        <w:t>al</w:t>
      </w:r>
      <w:r w:rsidR="001052DC">
        <w:t xml:space="preserve"> recente corso</w:t>
      </w:r>
      <w:r w:rsidR="00DF69D1">
        <w:t xml:space="preserve"> dei rendimenti dei Treasuries </w:t>
      </w:r>
      <w:r w:rsidR="007155CD">
        <w:t xml:space="preserve">e </w:t>
      </w:r>
      <w:r w:rsidR="00AB7B8B">
        <w:t xml:space="preserve">dei Bund, più bassi </w:t>
      </w:r>
      <w:r w:rsidR="00053D8F">
        <w:t>dei</w:t>
      </w:r>
      <w:r w:rsidR="00AB7B8B">
        <w:t xml:space="preserve"> tass</w:t>
      </w:r>
      <w:r w:rsidR="00053D8F">
        <w:t>i</w:t>
      </w:r>
      <w:r w:rsidR="00AB7B8B">
        <w:t xml:space="preserve"> delle banche centrali, perché incorporano un’attesa di riduzione dei tass</w:t>
      </w:r>
      <w:r w:rsidR="00053D8F">
        <w:t>i</w:t>
      </w:r>
      <w:r w:rsidR="003C42BF">
        <w:t xml:space="preserve">. Guardando l’andamento dei futures dei tassi a 3 mesi, </w:t>
      </w:r>
      <w:r w:rsidR="003C42BF" w:rsidRPr="00CB250D">
        <w:rPr>
          <w:b/>
          <w:bCs/>
        </w:rPr>
        <w:t xml:space="preserve">il mercato si aspetta che i tassi della Bce e della Fed si riducano </w:t>
      </w:r>
      <w:r w:rsidR="007155CD">
        <w:rPr>
          <w:b/>
          <w:bCs/>
        </w:rPr>
        <w:t xml:space="preserve">almeno di </w:t>
      </w:r>
      <w:r w:rsidR="003C42BF" w:rsidRPr="00CB250D">
        <w:rPr>
          <w:b/>
          <w:bCs/>
        </w:rPr>
        <w:t xml:space="preserve">due punti nei prossimi 18 mesi. </w:t>
      </w:r>
    </w:p>
    <w:p w14:paraId="43503320" w14:textId="77777777" w:rsidR="005D7938" w:rsidRDefault="005D7938" w:rsidP="005D7938">
      <w:pPr>
        <w:spacing w:after="0" w:line="240" w:lineRule="auto"/>
        <w:contextualSpacing/>
      </w:pPr>
    </w:p>
    <w:p w14:paraId="736F63FD" w14:textId="18EC4619" w:rsidR="00913E31" w:rsidRDefault="00AB7B8B" w:rsidP="005D7938">
      <w:pPr>
        <w:spacing w:after="0" w:line="240" w:lineRule="auto"/>
        <w:contextualSpacing/>
      </w:pPr>
      <w:r>
        <w:t xml:space="preserve">A beneficiare del rinnovato ottimismo sui mercati </w:t>
      </w:r>
      <w:r w:rsidR="00CB250D">
        <w:t>e della discesa dei rendimenti dei governativi,</w:t>
      </w:r>
      <w:r w:rsidR="001052DC">
        <w:t xml:space="preserve"> nell’ultimo trimestre dello scorso anno</w:t>
      </w:r>
      <w:r w:rsidR="00CB250D">
        <w:t xml:space="preserve"> </w:t>
      </w:r>
      <w:r>
        <w:t>è stato il settore corporate</w:t>
      </w:r>
      <w:r w:rsidR="00CB250D">
        <w:t xml:space="preserve">, </w:t>
      </w:r>
      <w:r w:rsidR="007155CD">
        <w:t>con</w:t>
      </w:r>
      <w:r w:rsidR="00CB250D">
        <w:t xml:space="preserve"> una </w:t>
      </w:r>
      <w:r w:rsidR="007155CD">
        <w:t>decisa</w:t>
      </w:r>
      <w:r>
        <w:t xml:space="preserve"> </w:t>
      </w:r>
      <w:r w:rsidR="00DF03FF">
        <w:t>compressi</w:t>
      </w:r>
      <w:r>
        <w:t>one de</w:t>
      </w:r>
      <w:r w:rsidR="009239F1">
        <w:t xml:space="preserve">gli </w:t>
      </w:r>
      <w:r>
        <w:t>spread</w:t>
      </w:r>
      <w:r w:rsidR="00DF03FF">
        <w:t>,</w:t>
      </w:r>
      <w:r>
        <w:t xml:space="preserve"> </w:t>
      </w:r>
      <w:r w:rsidR="00DF03FF">
        <w:t>passa</w:t>
      </w:r>
      <w:r w:rsidR="007155CD">
        <w:t>ti</w:t>
      </w:r>
      <w:r w:rsidR="00DF03FF">
        <w:t xml:space="preserve"> </w:t>
      </w:r>
      <w:r>
        <w:t xml:space="preserve">da 700 punti base </w:t>
      </w:r>
      <w:r w:rsidR="00992D8B">
        <w:t>d</w:t>
      </w:r>
      <w:r>
        <w:t>e</w:t>
      </w:r>
      <w:r w:rsidR="00992D8B">
        <w:t>lla fine del 2022 a 300</w:t>
      </w:r>
      <w:r w:rsidR="00DF03FF">
        <w:t xml:space="preserve"> nel gennaio 2024</w:t>
      </w:r>
      <w:r w:rsidR="00221DAF">
        <w:t xml:space="preserve"> (</w:t>
      </w:r>
      <w:proofErr w:type="spellStart"/>
      <w:r w:rsidR="00221DAF">
        <w:t>European</w:t>
      </w:r>
      <w:proofErr w:type="spellEnd"/>
      <w:r w:rsidR="00221DAF">
        <w:t xml:space="preserve"> </w:t>
      </w:r>
      <w:r w:rsidR="007155CD">
        <w:t>C</w:t>
      </w:r>
      <w:r w:rsidR="00221DAF">
        <w:t>orporate CDS Index-Spread)</w:t>
      </w:r>
      <w:r w:rsidR="00992D8B">
        <w:t xml:space="preserve">. </w:t>
      </w:r>
      <w:r w:rsidR="003C42BF">
        <w:t>Anche il</w:t>
      </w:r>
      <w:r w:rsidR="00385C72">
        <w:t xml:space="preserve"> comparto </w:t>
      </w:r>
      <w:r w:rsidR="00992D8B">
        <w:t xml:space="preserve">High Yield </w:t>
      </w:r>
      <w:r w:rsidR="00385C72">
        <w:t>negli USA</w:t>
      </w:r>
      <w:r w:rsidR="00992D8B">
        <w:t xml:space="preserve"> </w:t>
      </w:r>
      <w:r w:rsidR="00FC6854">
        <w:t>ha</w:t>
      </w:r>
      <w:r w:rsidR="007155CD">
        <w:t xml:space="preserve"> ripreso vigore</w:t>
      </w:r>
      <w:r w:rsidR="00FC6854">
        <w:t xml:space="preserve"> con il passaggio a una prospettiva di un soft landing dell’economia d</w:t>
      </w:r>
      <w:r w:rsidR="00385C72">
        <w:t>all’aspettativa di una</w:t>
      </w:r>
      <w:r w:rsidR="00FC6854">
        <w:t xml:space="preserve"> </w:t>
      </w:r>
      <w:r w:rsidR="00385C72">
        <w:t>recessione</w:t>
      </w:r>
      <w:r w:rsidR="00FC6854">
        <w:t xml:space="preserve">, </w:t>
      </w:r>
      <w:r w:rsidR="007155CD">
        <w:t xml:space="preserve">sentiment </w:t>
      </w:r>
      <w:r w:rsidR="00FC6854">
        <w:t>dominante nel 2023</w:t>
      </w:r>
      <w:r w:rsidR="00385C72">
        <w:t xml:space="preserve">, </w:t>
      </w:r>
      <w:r w:rsidR="00221DAF">
        <w:t>anche perché</w:t>
      </w:r>
      <w:r w:rsidR="00CB250D">
        <w:t xml:space="preserve"> </w:t>
      </w:r>
      <w:r w:rsidR="0090461D">
        <w:t xml:space="preserve">il </w:t>
      </w:r>
      <w:r w:rsidR="005365B6">
        <w:t>P</w:t>
      </w:r>
      <w:r w:rsidR="00771D9A">
        <w:t>il</w:t>
      </w:r>
      <w:r w:rsidR="005365B6">
        <w:t xml:space="preserve"> </w:t>
      </w:r>
      <w:r w:rsidR="00221DAF">
        <w:t xml:space="preserve">degli </w:t>
      </w:r>
      <w:r w:rsidR="00385C72">
        <w:t>USA</w:t>
      </w:r>
      <w:r w:rsidR="00CB250D">
        <w:t xml:space="preserve"> </w:t>
      </w:r>
      <w:r w:rsidR="005365B6">
        <w:t>continua a crescere in maniera sostenuta</w:t>
      </w:r>
      <w:r w:rsidR="0090461D">
        <w:t>,</w:t>
      </w:r>
      <w:r w:rsidR="00385C72">
        <w:t xml:space="preserve"> a differenza dell’</w:t>
      </w:r>
      <w:r w:rsidR="005365B6">
        <w:t>Europa.</w:t>
      </w:r>
      <w:r w:rsidR="001052DC">
        <w:br/>
      </w:r>
    </w:p>
    <w:p w14:paraId="7325A60F" w14:textId="1FC4F6C2" w:rsidR="0043267B" w:rsidRDefault="00CB250D" w:rsidP="005D7938">
      <w:pPr>
        <w:spacing w:after="0" w:line="240" w:lineRule="auto"/>
        <w:contextualSpacing/>
      </w:pPr>
      <w:r>
        <w:rPr>
          <w:u w:val="single"/>
        </w:rPr>
        <w:t>La tenuta delle valute dei</w:t>
      </w:r>
      <w:r w:rsidRPr="0090461D">
        <w:rPr>
          <w:u w:val="single"/>
        </w:rPr>
        <w:t xml:space="preserve"> Paesi emergenti</w:t>
      </w:r>
      <w:r>
        <w:rPr>
          <w:u w:val="single"/>
        </w:rPr>
        <w:br/>
      </w:r>
      <w:r>
        <w:t xml:space="preserve">Normalmente nelle fasi di crescita dei tassi di interesse, le valute dei Mercati Emergenti soffrono molto, con discese importanti. Questa volta però </w:t>
      </w:r>
      <w:r w:rsidRPr="00CB250D">
        <w:rPr>
          <w:b/>
          <w:bCs/>
        </w:rPr>
        <w:t>le autorità monetari</w:t>
      </w:r>
      <w:r w:rsidR="00771D9A">
        <w:rPr>
          <w:b/>
          <w:bCs/>
        </w:rPr>
        <w:t>e</w:t>
      </w:r>
      <w:r w:rsidRPr="00CB250D">
        <w:rPr>
          <w:b/>
          <w:bCs/>
        </w:rPr>
        <w:t xml:space="preserve"> hanno adottato politiche ancora più restrittive rispetto a quelle dei Paesi sviluppati che ha</w:t>
      </w:r>
      <w:r>
        <w:rPr>
          <w:b/>
          <w:bCs/>
        </w:rPr>
        <w:t>nno</w:t>
      </w:r>
      <w:r w:rsidRPr="00CB250D">
        <w:rPr>
          <w:b/>
          <w:bCs/>
        </w:rPr>
        <w:t xml:space="preserve"> portato a una complessiva tenuta delle valute emergenti</w:t>
      </w:r>
      <w:r>
        <w:t xml:space="preserve"> e, in alcuni casi, addirittura a un apprezzamento. È il caso, se consideriamo l’andamento dell’ultimo anno, del peso messicano, del </w:t>
      </w:r>
      <w:proofErr w:type="spellStart"/>
      <w:r>
        <w:t>real</w:t>
      </w:r>
      <w:proofErr w:type="spellEnd"/>
      <w:r>
        <w:t xml:space="preserve"> brasiliano e del peso colombiano. La differenza tra le politiche monetarie dei Paesi sviluppati e </w:t>
      </w:r>
      <w:r w:rsidR="00771D9A">
        <w:t xml:space="preserve">dei </w:t>
      </w:r>
      <w:r>
        <w:t>Mercati emergenti emerge anche dall’analisi dei tassi reali, superiore al 4% in Messico, Brasile e Colombia, rispetto a circa l’1,7 negli Stati Uniti e in Italia, e prossimi allo zero in Germania.</w:t>
      </w:r>
      <w:r w:rsidR="0043267B">
        <w:br/>
      </w:r>
      <w:r w:rsidR="0043267B">
        <w:br/>
      </w:r>
    </w:p>
    <w:p w14:paraId="090FCFB8" w14:textId="77777777" w:rsidR="0043267B" w:rsidRDefault="0043267B" w:rsidP="005D7938">
      <w:pPr>
        <w:spacing w:after="0" w:line="240" w:lineRule="auto"/>
        <w:contextualSpacing/>
      </w:pPr>
    </w:p>
    <w:p w14:paraId="7220AD61" w14:textId="623B2599" w:rsidR="0043267B" w:rsidRDefault="0043267B" w:rsidP="005D7938">
      <w:pPr>
        <w:spacing w:after="0" w:line="240" w:lineRule="auto"/>
        <w:contextualSpacing/>
      </w:pPr>
    </w:p>
    <w:p w14:paraId="09C83BCD" w14:textId="501673D3" w:rsidR="00992D8B" w:rsidRDefault="00992D8B" w:rsidP="00913E31">
      <w:pPr>
        <w:spacing w:after="0" w:line="240" w:lineRule="auto"/>
        <w:contextualSpacing/>
      </w:pPr>
    </w:p>
    <w:sectPr w:rsidR="00992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8"/>
    <w:rsid w:val="00037AE7"/>
    <w:rsid w:val="00040E4B"/>
    <w:rsid w:val="00053D8F"/>
    <w:rsid w:val="001052DC"/>
    <w:rsid w:val="00116532"/>
    <w:rsid w:val="00173B4E"/>
    <w:rsid w:val="001C6D1C"/>
    <w:rsid w:val="00221DAF"/>
    <w:rsid w:val="00252D8B"/>
    <w:rsid w:val="0026311C"/>
    <w:rsid w:val="00292142"/>
    <w:rsid w:val="002D0DD2"/>
    <w:rsid w:val="00300577"/>
    <w:rsid w:val="00351596"/>
    <w:rsid w:val="00373FD1"/>
    <w:rsid w:val="00385C72"/>
    <w:rsid w:val="0039538A"/>
    <w:rsid w:val="003A3F61"/>
    <w:rsid w:val="003A6AEC"/>
    <w:rsid w:val="003C42BF"/>
    <w:rsid w:val="003E5088"/>
    <w:rsid w:val="0043267B"/>
    <w:rsid w:val="00480DCF"/>
    <w:rsid w:val="004F34DA"/>
    <w:rsid w:val="00521C89"/>
    <w:rsid w:val="005300FB"/>
    <w:rsid w:val="005365B6"/>
    <w:rsid w:val="00543854"/>
    <w:rsid w:val="005B3A89"/>
    <w:rsid w:val="005D7938"/>
    <w:rsid w:val="007155CD"/>
    <w:rsid w:val="00740BB5"/>
    <w:rsid w:val="00771ACA"/>
    <w:rsid w:val="00771D9A"/>
    <w:rsid w:val="0079279F"/>
    <w:rsid w:val="00793E26"/>
    <w:rsid w:val="007A2C43"/>
    <w:rsid w:val="007A377B"/>
    <w:rsid w:val="007D258C"/>
    <w:rsid w:val="007E6F64"/>
    <w:rsid w:val="00857298"/>
    <w:rsid w:val="00866E9E"/>
    <w:rsid w:val="00896703"/>
    <w:rsid w:val="008F1502"/>
    <w:rsid w:val="0090461D"/>
    <w:rsid w:val="00913E31"/>
    <w:rsid w:val="00915FF2"/>
    <w:rsid w:val="009239F1"/>
    <w:rsid w:val="009358EE"/>
    <w:rsid w:val="00992D8B"/>
    <w:rsid w:val="009F6EEF"/>
    <w:rsid w:val="00AB7B8B"/>
    <w:rsid w:val="00AF37AA"/>
    <w:rsid w:val="00B37609"/>
    <w:rsid w:val="00BF4458"/>
    <w:rsid w:val="00C3480C"/>
    <w:rsid w:val="00C82FEC"/>
    <w:rsid w:val="00C8483F"/>
    <w:rsid w:val="00CB250D"/>
    <w:rsid w:val="00D07DA7"/>
    <w:rsid w:val="00D867D0"/>
    <w:rsid w:val="00DF03FF"/>
    <w:rsid w:val="00DF69D1"/>
    <w:rsid w:val="00E36BFA"/>
    <w:rsid w:val="00E4546E"/>
    <w:rsid w:val="00EA6283"/>
    <w:rsid w:val="00EB23B8"/>
    <w:rsid w:val="00EC2BE0"/>
    <w:rsid w:val="00F0655B"/>
    <w:rsid w:val="00FA0D52"/>
    <w:rsid w:val="00FC0CFC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17F0"/>
  <w15:chartTrackingRefBased/>
  <w15:docId w15:val="{90AFF7BD-0970-47BE-8DBC-D7DEDEDE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71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2024-02-14T09:50:00Z</dcterms:created>
  <dcterms:modified xsi:type="dcterms:W3CDTF">2024-02-14T09:50:00Z</dcterms:modified>
</cp:coreProperties>
</file>