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DB26" w14:textId="153B3CA4" w:rsidR="000A6765" w:rsidRPr="00A95C87" w:rsidRDefault="00A95C87" w:rsidP="00143A9D">
      <w:pPr>
        <w:spacing w:after="0" w:line="240" w:lineRule="auto"/>
        <w:contextualSpacing/>
        <w:rPr>
          <w:b/>
          <w:bCs/>
        </w:rPr>
      </w:pPr>
      <w:r w:rsidRPr="00A95C87">
        <w:rPr>
          <w:b/>
          <w:bCs/>
        </w:rPr>
        <w:t xml:space="preserve">T. Rowe Price - </w:t>
      </w:r>
      <w:r w:rsidR="000A6765" w:rsidRPr="00A95C87">
        <w:rPr>
          <w:b/>
          <w:bCs/>
        </w:rPr>
        <w:t xml:space="preserve">Sei fattori chiave </w:t>
      </w:r>
      <w:r w:rsidRPr="00A95C87">
        <w:rPr>
          <w:b/>
          <w:bCs/>
        </w:rPr>
        <w:t xml:space="preserve">che </w:t>
      </w:r>
      <w:r>
        <w:rPr>
          <w:b/>
          <w:bCs/>
        </w:rPr>
        <w:t>confermano</w:t>
      </w:r>
      <w:r w:rsidRPr="00A95C87">
        <w:rPr>
          <w:b/>
          <w:bCs/>
        </w:rPr>
        <w:t xml:space="preserve"> </w:t>
      </w:r>
      <w:r w:rsidR="000A6765" w:rsidRPr="00A95C87">
        <w:rPr>
          <w:b/>
          <w:bCs/>
        </w:rPr>
        <w:t xml:space="preserve">prospettive incoraggianti per le </w:t>
      </w:r>
      <w:r w:rsidRPr="00A95C87">
        <w:rPr>
          <w:b/>
          <w:bCs/>
        </w:rPr>
        <w:t xml:space="preserve">small </w:t>
      </w:r>
      <w:proofErr w:type="spellStart"/>
      <w:r w:rsidRPr="00A95C87">
        <w:rPr>
          <w:b/>
          <w:bCs/>
        </w:rPr>
        <w:t>cap</w:t>
      </w:r>
      <w:proofErr w:type="spellEnd"/>
      <w:r w:rsidR="000A6765" w:rsidRPr="00A95C87">
        <w:rPr>
          <w:b/>
          <w:bCs/>
        </w:rPr>
        <w:t xml:space="preserve"> statunitensi</w:t>
      </w:r>
    </w:p>
    <w:p w14:paraId="5060EDD8" w14:textId="77777777" w:rsidR="004E2823" w:rsidRDefault="004E2823" w:rsidP="00143A9D">
      <w:pPr>
        <w:spacing w:after="0" w:line="240" w:lineRule="auto"/>
        <w:contextualSpacing/>
      </w:pPr>
    </w:p>
    <w:p w14:paraId="199600A9" w14:textId="0D925DAF" w:rsidR="00451756" w:rsidRPr="00A95C87" w:rsidRDefault="00A95C87" w:rsidP="00143A9D">
      <w:pPr>
        <w:spacing w:after="0" w:line="240" w:lineRule="auto"/>
        <w:contextualSpacing/>
        <w:rPr>
          <w:rFonts w:eastAsia="Times New Roman" w:cstheme="minorHAnsi"/>
          <w:kern w:val="0"/>
          <w:lang w:eastAsia="it-IT"/>
          <w14:ligatures w14:val="none"/>
        </w:rPr>
      </w:pPr>
      <w:r w:rsidRPr="00A95C87">
        <w:t xml:space="preserve">A cura di </w:t>
      </w:r>
      <w:r w:rsidRPr="00036B95">
        <w:rPr>
          <w:rFonts w:eastAsia="Times New Roman" w:cstheme="minorHAnsi"/>
          <w:b/>
          <w:bCs/>
          <w:kern w:val="0"/>
          <w:lang w:eastAsia="it-IT"/>
          <w14:ligatures w14:val="none"/>
        </w:rPr>
        <w:t>Curt Organt</w:t>
      </w:r>
      <w:r w:rsidR="00451756" w:rsidRPr="00036B95">
        <w:rPr>
          <w:rFonts w:eastAsia="Times New Roman" w:cstheme="minorHAnsi"/>
          <w:b/>
          <w:bCs/>
          <w:kern w:val="0"/>
          <w:lang w:eastAsia="it-IT"/>
          <w14:ligatures w14:val="none"/>
        </w:rPr>
        <w:t>, </w:t>
      </w:r>
      <w:r w:rsidRPr="00036B95">
        <w:rPr>
          <w:rFonts w:eastAsia="Times New Roman" w:cstheme="minorHAnsi"/>
          <w:b/>
          <w:bCs/>
          <w:kern w:val="0"/>
          <w:lang w:eastAsia="it-IT"/>
          <w14:ligatures w14:val="none"/>
        </w:rPr>
        <w:t>Portfolio Manager</w:t>
      </w:r>
      <w:r w:rsidRPr="00036B95">
        <w:rPr>
          <w:rFonts w:eastAsia="Times New Roman" w:cstheme="minorHAnsi"/>
          <w:kern w:val="0"/>
          <w:lang w:eastAsia="it-IT"/>
          <w14:ligatures w14:val="none"/>
        </w:rPr>
        <w:t xml:space="preserve">, e </w:t>
      </w:r>
      <w:r w:rsidRPr="00036B95">
        <w:rPr>
          <w:rFonts w:eastAsia="Times New Roman" w:cstheme="minorHAnsi"/>
          <w:b/>
          <w:bCs/>
          <w:kern w:val="0"/>
          <w:lang w:eastAsia="it-IT"/>
          <w14:ligatures w14:val="none"/>
        </w:rPr>
        <w:t>Matt Mahon</w:t>
      </w:r>
      <w:r w:rsidR="00451756" w:rsidRPr="00036B95">
        <w:rPr>
          <w:rFonts w:eastAsia="Times New Roman" w:cstheme="minorHAnsi"/>
          <w:b/>
          <w:bCs/>
          <w:kern w:val="0"/>
          <w:lang w:eastAsia="it-IT"/>
          <w14:ligatures w14:val="none"/>
        </w:rPr>
        <w:t>,</w:t>
      </w:r>
      <w:r w:rsidR="00451756" w:rsidRPr="00A95C87">
        <w:rPr>
          <w:rFonts w:eastAsia="Times New Roman" w:cstheme="minorHAnsi"/>
          <w:b/>
          <w:bCs/>
          <w:kern w:val="0"/>
          <w:lang w:eastAsia="it-IT"/>
          <w14:ligatures w14:val="none"/>
        </w:rPr>
        <w:t> </w:t>
      </w:r>
      <w:r w:rsidR="000A6765" w:rsidRPr="00A95C87">
        <w:rPr>
          <w:rFonts w:eastAsia="Times New Roman" w:cstheme="minorHAnsi"/>
          <w:b/>
          <w:bCs/>
          <w:kern w:val="0"/>
          <w:lang w:eastAsia="it-IT"/>
          <w14:ligatures w14:val="none"/>
        </w:rPr>
        <w:t>Co-</w:t>
      </w:r>
      <w:r w:rsidRPr="00A95C87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Portfolio Manager, T. Rowe Price</w:t>
      </w:r>
    </w:p>
    <w:p w14:paraId="53608787" w14:textId="77777777" w:rsidR="004E2823" w:rsidRDefault="004E2823" w:rsidP="00143A9D">
      <w:pPr>
        <w:spacing w:after="0" w:line="240" w:lineRule="auto"/>
        <w:contextualSpacing/>
      </w:pPr>
    </w:p>
    <w:p w14:paraId="78E49C57" w14:textId="5D6C8BF9" w:rsidR="00757D59" w:rsidRDefault="00757D59" w:rsidP="00143A9D">
      <w:pPr>
        <w:spacing w:after="0" w:line="240" w:lineRule="auto"/>
        <w:contextualSpacing/>
      </w:pPr>
      <w:r w:rsidRPr="00A95C87">
        <w:t>In un contesto di inflazione elevata, 18 mesi di rialzi dei tassi d</w:t>
      </w:r>
      <w:r w:rsidR="0095795E" w:rsidRPr="00A95C87">
        <w:t>’</w:t>
      </w:r>
      <w:r w:rsidRPr="00A95C87">
        <w:t xml:space="preserve">interesse e timori sempre presenti di recessione, la </w:t>
      </w:r>
      <w:r w:rsidRPr="00143A9D">
        <w:rPr>
          <w:b/>
          <w:bCs/>
        </w:rPr>
        <w:t>resilienza generale dell’economia statunitense</w:t>
      </w:r>
      <w:r w:rsidRPr="00A95C87">
        <w:t xml:space="preserve"> durante tutto questo periodo </w:t>
      </w:r>
      <w:r w:rsidR="00143A9D">
        <w:t xml:space="preserve">se non </w:t>
      </w:r>
      <w:r w:rsidRPr="00A95C87">
        <w:t xml:space="preserve">è passata inosservata, </w:t>
      </w:r>
      <w:r w:rsidR="00143A9D">
        <w:t xml:space="preserve">è stata quantomeno </w:t>
      </w:r>
      <w:r w:rsidRPr="00A95C87">
        <w:t>sottovalutata da molti investitori. Tuttavia, questa resilienza è stata sottolineata di recente</w:t>
      </w:r>
      <w:r w:rsidR="00143A9D">
        <w:t>,</w:t>
      </w:r>
      <w:r w:rsidRPr="00A95C87">
        <w:t xml:space="preserve"> con l’economia che ha registrato una forte crescita nel terzo trimestre, ben superiore alle aspettative. </w:t>
      </w:r>
    </w:p>
    <w:p w14:paraId="6C30011F" w14:textId="77777777" w:rsidR="00143A9D" w:rsidRPr="00A95C87" w:rsidRDefault="00143A9D" w:rsidP="00143A9D">
      <w:pPr>
        <w:spacing w:after="0" w:line="240" w:lineRule="auto"/>
        <w:contextualSpacing/>
      </w:pPr>
    </w:p>
    <w:p w14:paraId="0D67EEE5" w14:textId="2422E799" w:rsidR="00B56A46" w:rsidRDefault="00CC0A0D" w:rsidP="00143A9D">
      <w:pPr>
        <w:spacing w:after="0" w:line="240" w:lineRule="auto"/>
        <w:contextualSpacing/>
        <w:rPr>
          <w:b/>
          <w:bCs/>
        </w:rPr>
      </w:pPr>
      <w:r w:rsidRPr="00A95C87">
        <w:t xml:space="preserve">Allo stesso tempo, l’inflazione è diminuita, allentando la pressione sui policymaker affinché aumentassero ulteriormente i tassi. </w:t>
      </w:r>
      <w:r w:rsidRPr="00143A9D">
        <w:rPr>
          <w:b/>
          <w:bCs/>
        </w:rPr>
        <w:t xml:space="preserve">I dati incoraggianti accrescono il potenziale per un atterraggio morbido dell’economia nel 2024, sfidando le previsioni più cupe che hanno prevalso per gran parte degli ultimi due anni.  </w:t>
      </w:r>
    </w:p>
    <w:p w14:paraId="6249CE99" w14:textId="77777777" w:rsidR="00143A9D" w:rsidRPr="003D7ADD" w:rsidRDefault="00143A9D" w:rsidP="00143A9D">
      <w:pPr>
        <w:spacing w:after="0" w:line="240" w:lineRule="auto"/>
        <w:contextualSpacing/>
        <w:rPr>
          <w:b/>
          <w:bCs/>
        </w:rPr>
      </w:pPr>
    </w:p>
    <w:p w14:paraId="6744872E" w14:textId="77777777" w:rsidR="00B56A46" w:rsidRPr="003D7ADD" w:rsidRDefault="00B56A46" w:rsidP="00143A9D">
      <w:pPr>
        <w:spacing w:after="0" w:line="240" w:lineRule="auto"/>
        <w:contextualSpacing/>
        <w:rPr>
          <w:u w:val="single"/>
        </w:rPr>
      </w:pPr>
      <w:r w:rsidRPr="003D7ADD">
        <w:rPr>
          <w:u w:val="single"/>
        </w:rPr>
        <w:t xml:space="preserve">Sconto di valutazione storicamente ampio </w:t>
      </w:r>
    </w:p>
    <w:p w14:paraId="1AAFF0A9" w14:textId="77777777" w:rsidR="00437B12" w:rsidRPr="003D7ADD" w:rsidRDefault="00437B12" w:rsidP="00143A9D">
      <w:pPr>
        <w:spacing w:after="0" w:line="240" w:lineRule="auto"/>
        <w:contextualSpacing/>
        <w:rPr>
          <w:b/>
          <w:bCs/>
        </w:rPr>
      </w:pPr>
      <w:r w:rsidRPr="00A95C87">
        <w:t xml:space="preserve">Per le aziende statunitensi più piccole, che negli ultimi anni hanno sopportato il peso dell’accresciuta avversione al rischio, questo segna un punto di svolta significativo. </w:t>
      </w:r>
      <w:r w:rsidRPr="003D7ADD">
        <w:rPr>
          <w:b/>
          <w:bCs/>
        </w:rPr>
        <w:t xml:space="preserve">Con il ritorno della propensione al rischio e i fondamentali che prevalgono ancora una volta sul sentiment, l’estremo sconto relativo sulla valutazione delle società più piccole appare sempre più attraente.  </w:t>
      </w:r>
    </w:p>
    <w:p w14:paraId="1C334CA1" w14:textId="77777777" w:rsidR="00143A9D" w:rsidRPr="00A95C87" w:rsidRDefault="00143A9D" w:rsidP="00143A9D">
      <w:pPr>
        <w:spacing w:after="0" w:line="240" w:lineRule="auto"/>
        <w:contextualSpacing/>
      </w:pPr>
    </w:p>
    <w:p w14:paraId="3A381B02" w14:textId="22FABC8A" w:rsidR="00451756" w:rsidRDefault="000B2E46" w:rsidP="00143A9D">
      <w:pPr>
        <w:spacing w:after="0" w:line="240" w:lineRule="auto"/>
        <w:contextualSpacing/>
      </w:pPr>
      <w:r w:rsidRPr="00A95C87">
        <w:t xml:space="preserve">Storicamente i titoli delle società statunitensi a piccola capitalizzazione sono stati scambiati con un premio rispetto alle società a grande capitalizzazione, riflettendo il loro profilo di rischio/rendimento relativo più elevato. Negli ultimi anni, tuttavia, questa tendenza di valutazione si è invertita: </w:t>
      </w:r>
      <w:r w:rsidRPr="003D7ADD">
        <w:rPr>
          <w:b/>
          <w:bCs/>
        </w:rPr>
        <w:t>i titoli a piccola capitalizzazione non solo vengono scambiati con uno sconto rispetto alle loro controparti più grandi, ma il differenziale è diventato estremo, ampliandosi a livelli mai visti da decenni</w:t>
      </w:r>
      <w:r w:rsidR="00143A9D">
        <w:t>.</w:t>
      </w:r>
    </w:p>
    <w:p w14:paraId="0BD3AA85" w14:textId="77777777" w:rsidR="00143A9D" w:rsidRPr="00A95C87" w:rsidRDefault="00143A9D" w:rsidP="00143A9D">
      <w:pPr>
        <w:spacing w:after="0" w:line="240" w:lineRule="auto"/>
        <w:contextualSpacing/>
      </w:pPr>
    </w:p>
    <w:p w14:paraId="607F3869" w14:textId="081FB867" w:rsidR="00A35A27" w:rsidRPr="00143A9D" w:rsidRDefault="00A35A27" w:rsidP="00143A9D">
      <w:pPr>
        <w:spacing w:after="0" w:line="240" w:lineRule="auto"/>
        <w:contextualSpacing/>
        <w:rPr>
          <w:u w:val="single"/>
        </w:rPr>
      </w:pPr>
      <w:r w:rsidRPr="00143A9D">
        <w:rPr>
          <w:u w:val="single"/>
        </w:rPr>
        <w:t xml:space="preserve">Spesa dei consumatori </w:t>
      </w:r>
      <w:r w:rsidR="00143A9D">
        <w:rPr>
          <w:u w:val="single"/>
        </w:rPr>
        <w:t>solida</w:t>
      </w:r>
      <w:r w:rsidR="00143A9D" w:rsidRPr="00143A9D">
        <w:rPr>
          <w:u w:val="single"/>
        </w:rPr>
        <w:t xml:space="preserve">  </w:t>
      </w:r>
    </w:p>
    <w:p w14:paraId="79899FAA" w14:textId="77777777" w:rsidR="00206414" w:rsidRDefault="00206414" w:rsidP="00143A9D">
      <w:pPr>
        <w:spacing w:after="0" w:line="240" w:lineRule="auto"/>
        <w:contextualSpacing/>
      </w:pPr>
      <w:r w:rsidRPr="00A95C87">
        <w:t xml:space="preserve">L’economia statunitense è cresciuta del 4,9% annualizzato nel terzo trimestre, il ritmo più veloce in quasi due anni. Nel frattempo, l’inflazione è scesa al 3,2% a ottobre, segnando un calo spettacolare rispetto al massimo quarantennale del 9,1% registrato nel giugno 2022.  </w:t>
      </w:r>
    </w:p>
    <w:p w14:paraId="59873440" w14:textId="77777777" w:rsidR="00143A9D" w:rsidRPr="00A95C87" w:rsidRDefault="00143A9D" w:rsidP="00143A9D">
      <w:pPr>
        <w:spacing w:after="0" w:line="240" w:lineRule="auto"/>
        <w:contextualSpacing/>
      </w:pPr>
    </w:p>
    <w:p w14:paraId="0C28861C" w14:textId="77777777" w:rsidR="00143A9D" w:rsidRPr="003D7ADD" w:rsidRDefault="00DF2CF2" w:rsidP="00143A9D">
      <w:pPr>
        <w:spacing w:after="0" w:line="240" w:lineRule="auto"/>
        <w:contextualSpacing/>
        <w:rPr>
          <w:b/>
          <w:bCs/>
        </w:rPr>
      </w:pPr>
      <w:r w:rsidRPr="003D7ADD">
        <w:rPr>
          <w:b/>
          <w:bCs/>
        </w:rPr>
        <w:t>Una delle principali forze alla base della resilienza dell’economia è stata la continua forza della spesa al consumo.</w:t>
      </w:r>
      <w:r w:rsidRPr="00A95C87">
        <w:t xml:space="preserve"> Un forte mercato del lavoro con un elevato livello di occupazione significa che i salari statunitensi sono in aumento, mentre anche il risparmio in eccesso è a livelli storicamente elevati. È importante sottolineare che i consumatori statunitensi sono anche meno immediatamente esposti al forte aumento dei tassi d</w:t>
      </w:r>
      <w:r w:rsidR="00172CFB" w:rsidRPr="00A95C87">
        <w:t>’</w:t>
      </w:r>
      <w:r w:rsidRPr="00A95C87">
        <w:t xml:space="preserve">interesse rispetto a molti altri </w:t>
      </w:r>
      <w:r w:rsidR="00172CFB" w:rsidRPr="00A95C87">
        <w:t>P</w:t>
      </w:r>
      <w:r w:rsidRPr="00A95C87">
        <w:t>aesi. La maggior parte dei mutui domestici statunitensi – circa il 90% – sono a tasso fisso, con un’ampia percentuale garantita a tassi d</w:t>
      </w:r>
      <w:r w:rsidR="00A22A88" w:rsidRPr="00A95C87">
        <w:t>’</w:t>
      </w:r>
      <w:r w:rsidRPr="00A95C87">
        <w:t xml:space="preserve">interesse a lungo termine ben al di sotto degli alti tassi disponibili oggi. In breve, </w:t>
      </w:r>
      <w:r w:rsidRPr="003D7ADD">
        <w:rPr>
          <w:b/>
          <w:bCs/>
        </w:rPr>
        <w:t xml:space="preserve">i bilanci individuali sono in condizioni migliori rispetto a prima della pandemia, dando ai consumatori la fiducia necessaria per continuare a spendere. </w:t>
      </w:r>
    </w:p>
    <w:p w14:paraId="09ADEDE9" w14:textId="16DF3608" w:rsidR="00DF2CF2" w:rsidRPr="00A95C87" w:rsidRDefault="00DF2CF2" w:rsidP="00143A9D">
      <w:pPr>
        <w:spacing w:after="0" w:line="240" w:lineRule="auto"/>
        <w:contextualSpacing/>
      </w:pPr>
      <w:r w:rsidRPr="00A95C87">
        <w:t xml:space="preserve"> </w:t>
      </w:r>
    </w:p>
    <w:p w14:paraId="5FCBD085" w14:textId="0B9485EF" w:rsidR="00903E35" w:rsidRPr="00143A9D" w:rsidRDefault="00D07E32" w:rsidP="00903E35">
      <w:pPr>
        <w:spacing w:after="0" w:line="240" w:lineRule="auto"/>
        <w:contextualSpacing/>
        <w:rPr>
          <w:u w:val="single"/>
        </w:rPr>
      </w:pPr>
      <w:r w:rsidRPr="003D7ADD">
        <w:rPr>
          <w:b/>
          <w:bCs/>
        </w:rPr>
        <w:t>Tuttavia, stiamo anche assistendo a uno spostamento delle tendenze di fondo della spesa, dai beni ai servizi.</w:t>
      </w:r>
      <w:r w:rsidRPr="00A95C87">
        <w:t xml:space="preserve"> Ciò risale alla pandemia di C</w:t>
      </w:r>
      <w:r w:rsidR="00143A9D" w:rsidRPr="00A95C87">
        <w:t>ovid</w:t>
      </w:r>
      <w:r w:rsidRPr="00A95C87">
        <w:t>, durante la quale l’economia dei beni è rimasta solida</w:t>
      </w:r>
      <w:r w:rsidR="007168BB" w:rsidRPr="00A95C87">
        <w:t>,</w:t>
      </w:r>
      <w:r w:rsidRPr="00A95C87">
        <w:t xml:space="preserve"> mentre l’economia dei servizi ha effettivamente chiuso i battenti. Ora stiamo vedendo questo squilibrio oscillare nella direzione opposta, con l’evidenza di un recupero concertato nella spesa per i servizi. È importante sottolineare che, </w:t>
      </w:r>
      <w:r w:rsidRPr="003D7ADD">
        <w:rPr>
          <w:b/>
          <w:bCs/>
        </w:rPr>
        <w:t xml:space="preserve">dato che gli utili aziendali più piccoli sono molto più orientati all’economia dei servizi, questo cambiamento dovrebbe contribuire ad alimentare una crescita favorevole degli utili relativi. </w:t>
      </w:r>
      <w:r w:rsidR="00903E35">
        <w:rPr>
          <w:b/>
          <w:bCs/>
        </w:rPr>
        <w:br/>
      </w:r>
      <w:r w:rsidR="00903E35">
        <w:rPr>
          <w:b/>
          <w:bCs/>
        </w:rPr>
        <w:br/>
      </w:r>
      <w:r w:rsidR="00903E35">
        <w:rPr>
          <w:u w:val="single"/>
        </w:rPr>
        <w:t>Bilanci più sani</w:t>
      </w:r>
      <w:r w:rsidR="00903E35" w:rsidRPr="00143A9D">
        <w:rPr>
          <w:u w:val="single"/>
        </w:rPr>
        <w:t xml:space="preserve">  </w:t>
      </w:r>
    </w:p>
    <w:p w14:paraId="66A68AA8" w14:textId="0BC512FF" w:rsidR="00436466" w:rsidRPr="003D7ADD" w:rsidRDefault="00436466" w:rsidP="00143A9D">
      <w:pPr>
        <w:spacing w:after="0" w:line="240" w:lineRule="auto"/>
        <w:contextualSpacing/>
        <w:rPr>
          <w:b/>
          <w:bCs/>
        </w:rPr>
      </w:pPr>
      <w:r w:rsidRPr="00903E35">
        <w:t xml:space="preserve">Allo stesso modo, anche le aziende statunitensi, grandi e piccole, si sono mosse rapidamente per ridimensionare o rifinanziare il proprio debito dopo la pandemia, con il risultato di </w:t>
      </w:r>
      <w:r w:rsidRPr="003D7ADD">
        <w:rPr>
          <w:b/>
          <w:bCs/>
        </w:rPr>
        <w:t xml:space="preserve">bilanci generalmente più sani, più liquidità e meno esposizione alle fluttuazioni dei tassi d’interesse. </w:t>
      </w:r>
    </w:p>
    <w:p w14:paraId="55A8F899" w14:textId="77777777" w:rsidR="00143A9D" w:rsidRPr="00A95C87" w:rsidRDefault="00143A9D" w:rsidP="00143A9D">
      <w:pPr>
        <w:spacing w:after="0" w:line="240" w:lineRule="auto"/>
        <w:contextualSpacing/>
      </w:pPr>
    </w:p>
    <w:p w14:paraId="48B37BDA" w14:textId="77777777" w:rsidR="00143A9D" w:rsidRPr="003D7ADD" w:rsidRDefault="00143A9D" w:rsidP="00143A9D">
      <w:pPr>
        <w:spacing w:after="0" w:line="240" w:lineRule="auto"/>
        <w:contextualSpacing/>
        <w:rPr>
          <w:rFonts w:eastAsia="Times New Roman" w:cstheme="minorHAnsi"/>
          <w:b/>
          <w:bCs/>
          <w:kern w:val="0"/>
          <w:lang w:eastAsia="it-IT"/>
          <w14:ligatures w14:val="none"/>
        </w:rPr>
      </w:pPr>
    </w:p>
    <w:p w14:paraId="35E65F5A" w14:textId="7BDD7835" w:rsidR="00810A0C" w:rsidRDefault="00810A0C" w:rsidP="00143A9D">
      <w:pPr>
        <w:pStyle w:val="xmprfxelementtoproof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</w:rPr>
      </w:pPr>
      <w:r w:rsidRPr="003D7ADD">
        <w:rPr>
          <w:rFonts w:ascii="Calibri" w:hAnsi="Calibri" w:cs="Calibri"/>
          <w:b/>
          <w:bCs/>
          <w:sz w:val="22"/>
          <w:szCs w:val="22"/>
        </w:rPr>
        <w:t xml:space="preserve">Le società più piccole offrono un'esposizione molto diversificata alla vitalità dell'economia statunitense e un profilo di rischio diverso rispetto agli investimenti nelle large cap. </w:t>
      </w:r>
      <w:r w:rsidRPr="00A95C87">
        <w:rPr>
          <w:rFonts w:ascii="Calibri" w:hAnsi="Calibri" w:cs="Calibri"/>
          <w:sz w:val="22"/>
          <w:szCs w:val="22"/>
        </w:rPr>
        <w:t xml:space="preserve">L'orientamento nazionale delle società più piccole e l'esposizione più bilanciata a livello settoriale fanno sì che esse siano </w:t>
      </w:r>
      <w:r w:rsidRPr="003D7ADD">
        <w:rPr>
          <w:rFonts w:ascii="Calibri" w:hAnsi="Calibri" w:cs="Calibri"/>
          <w:b/>
          <w:bCs/>
          <w:sz w:val="22"/>
          <w:szCs w:val="22"/>
        </w:rPr>
        <w:t xml:space="preserve">spesso posizionate meglio per beneficiare </w:t>
      </w:r>
      <w:proofErr w:type="gramStart"/>
      <w:r w:rsidRPr="003D7ADD">
        <w:rPr>
          <w:rFonts w:ascii="Calibri" w:hAnsi="Calibri" w:cs="Calibri"/>
          <w:b/>
          <w:bCs/>
          <w:sz w:val="22"/>
          <w:szCs w:val="22"/>
        </w:rPr>
        <w:t>dei mutevoli trend</w:t>
      </w:r>
      <w:proofErr w:type="gramEnd"/>
      <w:r w:rsidRPr="003D7ADD">
        <w:rPr>
          <w:rFonts w:ascii="Calibri" w:hAnsi="Calibri" w:cs="Calibri"/>
          <w:b/>
          <w:bCs/>
          <w:sz w:val="22"/>
          <w:szCs w:val="22"/>
        </w:rPr>
        <w:t xml:space="preserve"> nell'economia statunitense</w:t>
      </w:r>
      <w:r w:rsidRPr="00A95C87">
        <w:rPr>
          <w:rFonts w:ascii="Calibri" w:hAnsi="Calibri" w:cs="Calibri"/>
          <w:sz w:val="22"/>
          <w:szCs w:val="22"/>
        </w:rPr>
        <w:t>.  </w:t>
      </w:r>
    </w:p>
    <w:p w14:paraId="1AA5B73D" w14:textId="77777777" w:rsidR="00143A9D" w:rsidRPr="00A95C87" w:rsidRDefault="00143A9D" w:rsidP="00143A9D">
      <w:pPr>
        <w:pStyle w:val="xmprfxelementtoproof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61E4CB99" w14:textId="572C2890" w:rsidR="00810A0C" w:rsidRPr="00143A9D" w:rsidRDefault="00810A0C" w:rsidP="00143A9D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proofErr w:type="spellStart"/>
      <w:r w:rsidRPr="00143A9D">
        <w:rPr>
          <w:rFonts w:ascii="Calibri" w:hAnsi="Calibri" w:cs="Calibri"/>
          <w:sz w:val="22"/>
          <w:szCs w:val="22"/>
          <w:u w:val="single"/>
        </w:rPr>
        <w:t>Onshoring</w:t>
      </w:r>
      <w:proofErr w:type="spellEnd"/>
      <w:r w:rsidR="009B55F1">
        <w:rPr>
          <w:rFonts w:ascii="Calibri" w:hAnsi="Calibri" w:cs="Calibri"/>
          <w:sz w:val="22"/>
          <w:szCs w:val="22"/>
          <w:u w:val="single"/>
        </w:rPr>
        <w:t>: l’industria americana sta tornando a casa</w:t>
      </w:r>
    </w:p>
    <w:p w14:paraId="4D42B28E" w14:textId="034C29D9" w:rsidR="00143A9D" w:rsidRPr="00A95C87" w:rsidRDefault="00810A0C" w:rsidP="00143A9D">
      <w:pPr>
        <w:pStyle w:val="xmprfxelementtoproof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A95C87">
        <w:rPr>
          <w:rFonts w:ascii="Calibri" w:hAnsi="Calibri" w:cs="Calibri"/>
          <w:sz w:val="22"/>
          <w:szCs w:val="22"/>
        </w:rPr>
        <w:t>Sta prendendo piede la tendenza alla localizzazione delle catene di fornitura, od "</w:t>
      </w:r>
      <w:proofErr w:type="spellStart"/>
      <w:r w:rsidRPr="00A95C87">
        <w:rPr>
          <w:rFonts w:ascii="Calibri" w:hAnsi="Calibri" w:cs="Calibri"/>
          <w:sz w:val="22"/>
          <w:szCs w:val="22"/>
        </w:rPr>
        <w:t>onshoring</w:t>
      </w:r>
      <w:proofErr w:type="spellEnd"/>
      <w:r w:rsidRPr="00A95C87">
        <w:rPr>
          <w:rFonts w:ascii="Calibri" w:hAnsi="Calibri" w:cs="Calibri"/>
          <w:sz w:val="22"/>
          <w:szCs w:val="22"/>
        </w:rPr>
        <w:t>"/"</w:t>
      </w:r>
      <w:proofErr w:type="spellStart"/>
      <w:r w:rsidRPr="00A95C87">
        <w:rPr>
          <w:rFonts w:ascii="Calibri" w:hAnsi="Calibri" w:cs="Calibri"/>
          <w:sz w:val="22"/>
          <w:szCs w:val="22"/>
        </w:rPr>
        <w:t>reshoring</w:t>
      </w:r>
      <w:proofErr w:type="spellEnd"/>
      <w:r w:rsidRPr="00A95C87">
        <w:rPr>
          <w:rFonts w:ascii="Calibri" w:hAnsi="Calibri" w:cs="Calibri"/>
          <w:sz w:val="22"/>
          <w:szCs w:val="22"/>
        </w:rPr>
        <w:t xml:space="preserve">" dell'industria statunitense. Abbiamo già assistito a un forte aumento dell'attività manifatturiera </w:t>
      </w:r>
      <w:proofErr w:type="gramStart"/>
      <w:r w:rsidRPr="00A95C87">
        <w:rPr>
          <w:rFonts w:ascii="Calibri" w:hAnsi="Calibri" w:cs="Calibri"/>
          <w:sz w:val="22"/>
          <w:szCs w:val="22"/>
        </w:rPr>
        <w:t>ed</w:t>
      </w:r>
      <w:proofErr w:type="gramEnd"/>
      <w:r w:rsidRPr="00A95C87">
        <w:rPr>
          <w:rFonts w:ascii="Calibri" w:hAnsi="Calibri" w:cs="Calibri"/>
          <w:sz w:val="22"/>
          <w:szCs w:val="22"/>
        </w:rPr>
        <w:t xml:space="preserve"> edilizia direttamente attribuibile all'</w:t>
      </w:r>
      <w:proofErr w:type="spellStart"/>
      <w:r w:rsidRPr="00A95C87">
        <w:rPr>
          <w:rFonts w:ascii="Calibri" w:hAnsi="Calibri" w:cs="Calibri"/>
          <w:sz w:val="22"/>
          <w:szCs w:val="22"/>
        </w:rPr>
        <w:t>onshoring</w:t>
      </w:r>
      <w:proofErr w:type="spellEnd"/>
      <w:r w:rsidRPr="00A95C87">
        <w:rPr>
          <w:rFonts w:ascii="Calibri" w:hAnsi="Calibri" w:cs="Calibri"/>
          <w:sz w:val="22"/>
          <w:szCs w:val="22"/>
        </w:rPr>
        <w:t>/</w:t>
      </w:r>
      <w:proofErr w:type="spellStart"/>
      <w:r w:rsidRPr="00A95C87">
        <w:rPr>
          <w:rFonts w:ascii="Calibri" w:hAnsi="Calibri" w:cs="Calibri"/>
          <w:sz w:val="22"/>
          <w:szCs w:val="22"/>
        </w:rPr>
        <w:t>reshoring</w:t>
      </w:r>
      <w:proofErr w:type="spellEnd"/>
      <w:r w:rsidRPr="00A95C87">
        <w:rPr>
          <w:rFonts w:ascii="Calibri" w:hAnsi="Calibri" w:cs="Calibri"/>
          <w:sz w:val="22"/>
          <w:szCs w:val="22"/>
        </w:rPr>
        <w:t xml:space="preserve"> delle aziende e tale cambiamento è ancora solo nelle fasi relativamente iniziali. Deve ancora essere percepito l'impatto completo delle nuove leggi, tra cui </w:t>
      </w:r>
      <w:r w:rsidRPr="003D7ADD">
        <w:rPr>
          <w:rFonts w:ascii="Calibri" w:hAnsi="Calibri" w:cs="Calibri"/>
          <w:b/>
          <w:bCs/>
          <w:sz w:val="22"/>
          <w:szCs w:val="22"/>
        </w:rPr>
        <w:t>il CHIPS and Science Act del 2022 e l'</w:t>
      </w:r>
      <w:proofErr w:type="spellStart"/>
      <w:r w:rsidRPr="003D7ADD">
        <w:rPr>
          <w:rFonts w:ascii="Calibri" w:hAnsi="Calibri" w:cs="Calibri"/>
          <w:b/>
          <w:bCs/>
          <w:sz w:val="22"/>
          <w:szCs w:val="22"/>
        </w:rPr>
        <w:t>Inflation</w:t>
      </w:r>
      <w:proofErr w:type="spellEnd"/>
      <w:r w:rsidRPr="003D7ADD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3D7ADD">
        <w:rPr>
          <w:rFonts w:ascii="Calibri" w:hAnsi="Calibri" w:cs="Calibri"/>
          <w:b/>
          <w:bCs/>
          <w:sz w:val="22"/>
          <w:szCs w:val="22"/>
        </w:rPr>
        <w:t>Reduction</w:t>
      </w:r>
      <w:proofErr w:type="spellEnd"/>
      <w:r w:rsidRPr="003D7ADD">
        <w:rPr>
          <w:rFonts w:ascii="Calibri" w:hAnsi="Calibri" w:cs="Calibri"/>
          <w:b/>
          <w:bCs/>
          <w:sz w:val="22"/>
          <w:szCs w:val="22"/>
        </w:rPr>
        <w:t xml:space="preserve"> Act del 2022</w:t>
      </w:r>
      <w:r w:rsidRPr="00A95C87">
        <w:rPr>
          <w:rFonts w:ascii="Calibri" w:hAnsi="Calibri" w:cs="Calibri"/>
          <w:sz w:val="22"/>
          <w:szCs w:val="22"/>
        </w:rPr>
        <w:t xml:space="preserve">, che offrono grandi incentivi alle aziende per riportare le attività e il personale negli USA. </w:t>
      </w:r>
      <w:r w:rsidRPr="003D7ADD">
        <w:rPr>
          <w:rFonts w:ascii="Calibri" w:hAnsi="Calibri" w:cs="Calibri"/>
          <w:b/>
          <w:bCs/>
          <w:sz w:val="22"/>
          <w:szCs w:val="22"/>
        </w:rPr>
        <w:t>Ognuno contiene clausole relative alla produzione e all'approvvigionamento di prodotti e componenti fabbricati negli USA, volte a favorire le società che producono a livello nazionale.</w:t>
      </w:r>
      <w:r w:rsidRPr="00A95C87">
        <w:rPr>
          <w:rFonts w:ascii="Calibri" w:hAnsi="Calibri" w:cs="Calibri"/>
          <w:sz w:val="22"/>
          <w:szCs w:val="22"/>
        </w:rPr>
        <w:t xml:space="preserve"> </w:t>
      </w:r>
      <w:r w:rsidRPr="003D7ADD">
        <w:rPr>
          <w:rFonts w:ascii="Calibri" w:hAnsi="Calibri" w:cs="Calibri"/>
          <w:b/>
          <w:bCs/>
          <w:sz w:val="22"/>
          <w:szCs w:val="22"/>
        </w:rPr>
        <w:t>Le aziende più piccole, che tendono a essere più orientate all'economia nazionale, beneficeranno di questo spostamento</w:t>
      </w:r>
      <w:r w:rsidRPr="00A95C87">
        <w:rPr>
          <w:rFonts w:ascii="Calibri" w:hAnsi="Calibri" w:cs="Calibri"/>
          <w:sz w:val="22"/>
          <w:szCs w:val="22"/>
        </w:rPr>
        <w:t xml:space="preserve"> concertato dalla globalizzazione a favore di catene di approvvigionamento che presentano una maggiore spinta a livello locale. </w:t>
      </w:r>
    </w:p>
    <w:p w14:paraId="23F4E686" w14:textId="77777777" w:rsidR="00143A9D" w:rsidRPr="003D7ADD" w:rsidRDefault="00143A9D" w:rsidP="00143A9D">
      <w:pPr>
        <w:spacing w:after="0" w:line="240" w:lineRule="auto"/>
        <w:contextualSpacing/>
        <w:outlineLvl w:val="2"/>
        <w:rPr>
          <w:rFonts w:eastAsia="Times New Roman" w:cstheme="minorHAnsi"/>
          <w:kern w:val="0"/>
          <w:u w:val="single"/>
          <w:lang w:eastAsia="it-IT"/>
          <w14:ligatures w14:val="none"/>
        </w:rPr>
      </w:pPr>
    </w:p>
    <w:p w14:paraId="52ADC44A" w14:textId="77777777" w:rsidR="00143A9D" w:rsidRDefault="00C76976" w:rsidP="00143A9D">
      <w:pPr>
        <w:spacing w:after="0" w:line="240" w:lineRule="auto"/>
        <w:contextualSpacing/>
        <w:outlineLvl w:val="2"/>
        <w:rPr>
          <w:u w:val="single"/>
        </w:rPr>
      </w:pPr>
      <w:r w:rsidRPr="00143A9D">
        <w:rPr>
          <w:u w:val="single"/>
        </w:rPr>
        <w:t>Potere di fissazione dei prezzi da parte delle aziende più piccole</w:t>
      </w:r>
    </w:p>
    <w:p w14:paraId="1857461F" w14:textId="77777777" w:rsidR="00B1013E" w:rsidRDefault="00B1013E" w:rsidP="00B1013E">
      <w:pPr>
        <w:spacing w:after="0" w:line="240" w:lineRule="auto"/>
        <w:contextualSpacing/>
        <w:outlineLvl w:val="2"/>
      </w:pPr>
      <w:r w:rsidRPr="00A95C87">
        <w:t xml:space="preserve">Uno dei principali rischi per le prospettive positive nel 2024 è che l’inflazione riprenda la sua traiettoria ascendente, rendendo necessari ulteriori aumenti dei tassi. Riconosciamo che esiste una pressione al rialzo secolare sui costi nel settore energetico, ad esempio. </w:t>
      </w:r>
      <w:r w:rsidRPr="003D7ADD">
        <w:rPr>
          <w:b/>
          <w:bCs/>
        </w:rPr>
        <w:t>L’aumento dell’inflazione e i tassi di interesse più elevati offuscherebbero sicuramente le prospettive per le aziende più piccole</w:t>
      </w:r>
      <w:r w:rsidRPr="00A95C87">
        <w:t xml:space="preserve">. </w:t>
      </w:r>
      <w:r w:rsidRPr="003D7ADD">
        <w:rPr>
          <w:b/>
          <w:bCs/>
        </w:rPr>
        <w:t>Tuttavia</w:t>
      </w:r>
      <w:r w:rsidRPr="00A95C87">
        <w:t xml:space="preserve">, anche se ciò </w:t>
      </w:r>
      <w:r>
        <w:t>dovesse accadere</w:t>
      </w:r>
      <w:r w:rsidRPr="00A95C87">
        <w:t xml:space="preserve">, </w:t>
      </w:r>
      <w:proofErr w:type="gramStart"/>
      <w:r w:rsidRPr="00A95C87">
        <w:t>ci sono</w:t>
      </w:r>
      <w:proofErr w:type="gramEnd"/>
      <w:r w:rsidRPr="00A95C87">
        <w:t xml:space="preserve"> </w:t>
      </w:r>
      <w:r w:rsidRPr="003D7ADD">
        <w:rPr>
          <w:b/>
          <w:bCs/>
        </w:rPr>
        <w:t>molte aziende più piccole che hanno un attributo fondamentale: il potere di determinazione dei prezzi</w:t>
      </w:r>
      <w:r w:rsidRPr="00A95C87">
        <w:t xml:space="preserve">.  </w:t>
      </w:r>
    </w:p>
    <w:p w14:paraId="6729CF6D" w14:textId="77777777" w:rsidR="00B1013E" w:rsidRPr="00A95C87" w:rsidRDefault="00B1013E" w:rsidP="00B1013E">
      <w:pPr>
        <w:spacing w:after="0" w:line="240" w:lineRule="auto"/>
        <w:contextualSpacing/>
      </w:pPr>
    </w:p>
    <w:p w14:paraId="4A078354" w14:textId="77777777" w:rsidR="00B1013E" w:rsidRPr="00B1013E" w:rsidRDefault="00B1013E" w:rsidP="00B1013E">
      <w:pPr>
        <w:spacing w:after="0" w:line="240" w:lineRule="auto"/>
        <w:contextualSpacing/>
      </w:pPr>
      <w:r w:rsidRPr="00B1013E">
        <w:t xml:space="preserve">Si ritiene spesso che </w:t>
      </w:r>
      <w:r w:rsidRPr="00B1013E">
        <w:rPr>
          <w:b/>
          <w:bCs/>
        </w:rPr>
        <w:t>le aziende più piccole</w:t>
      </w:r>
      <w:r w:rsidRPr="00B1013E">
        <w:t xml:space="preserve"> siano price </w:t>
      </w:r>
      <w:proofErr w:type="spellStart"/>
      <w:r w:rsidRPr="00B1013E">
        <w:t>taker</w:t>
      </w:r>
      <w:proofErr w:type="spellEnd"/>
      <w:r w:rsidRPr="00B1013E">
        <w:t xml:space="preserve">, con una capacità limitata di esercitare un potere di fissazione dei prezzi. In realtà, </w:t>
      </w:r>
      <w:r w:rsidRPr="00B1013E">
        <w:rPr>
          <w:b/>
          <w:bCs/>
        </w:rPr>
        <w:t xml:space="preserve">molte piccole imprese operano in settori scarsamente serviti o di nicchia, come </w:t>
      </w:r>
      <w:proofErr w:type="gramStart"/>
      <w:r w:rsidRPr="00B1013E">
        <w:rPr>
          <w:b/>
          <w:bCs/>
        </w:rPr>
        <w:t>il fintech</w:t>
      </w:r>
      <w:proofErr w:type="gramEnd"/>
      <w:r w:rsidRPr="00B1013E">
        <w:rPr>
          <w:b/>
          <w:bCs/>
        </w:rPr>
        <w:t>, i giochi per computer, l’e-commerce e l’energia verde, e quindi</w:t>
      </w:r>
      <w:r w:rsidRPr="00B1013E">
        <w:t xml:space="preserve"> </w:t>
      </w:r>
      <w:r w:rsidRPr="00B1013E">
        <w:rPr>
          <w:b/>
          <w:bCs/>
        </w:rPr>
        <w:t>dispongono di un potere di fissazione dei prezzi maggiore di quanto le loro dimensioni potrebbero suggerire.</w:t>
      </w:r>
      <w:r w:rsidRPr="00B1013E">
        <w:t xml:space="preserve"> Quando queste aziende iniziano a subire pressioni inflazionistiche, a causa di colli di bottiglia nella catena di approvvigionamento, aumenti salariali o a causa dell’aumento dei costi di produzione, sono in grado di trasferire questi costi più elevati ai clienti, contribuendo così a proteggere i loro margini di profitto. </w:t>
      </w:r>
    </w:p>
    <w:p w14:paraId="1D461B96" w14:textId="77777777" w:rsidR="00B1013E" w:rsidRPr="00B1013E" w:rsidRDefault="00B1013E" w:rsidP="00B1013E">
      <w:pPr>
        <w:spacing w:after="0" w:line="240" w:lineRule="auto"/>
        <w:contextualSpacing/>
      </w:pPr>
    </w:p>
    <w:p w14:paraId="3EF6ACFD" w14:textId="176730CE" w:rsidR="00B1013E" w:rsidRPr="00B1013E" w:rsidRDefault="00B1013E" w:rsidP="00B1013E">
      <w:pPr>
        <w:spacing w:after="0" w:line="240" w:lineRule="auto"/>
        <w:contextualSpacing/>
      </w:pPr>
      <w:r w:rsidRPr="00B1013E">
        <w:t xml:space="preserve">Anche se un’azienda più piccola non può controllare il prezzo di un prodotto finale, non è necessariamente incapace di influenzare i propri ricavi/profitti. Ad esempio, molte aziende più piccole possono rappresentare componenti critici all’interno di processi o catene di fornitura più complicati. Come è stato dolorosamente chiaro negli ultimi anni, </w:t>
      </w:r>
      <w:r w:rsidRPr="00B1013E">
        <w:rPr>
          <w:b/>
          <w:bCs/>
        </w:rPr>
        <w:t>l’elevata domanda e l’offerta limitata di qualsiasi componente lungo la catena di approvvigionamento conferiscono potere di determinazione dei prezzi al produttore del componente</w:t>
      </w:r>
      <w:r w:rsidRPr="00B1013E">
        <w:t>. Le aziende asset-light che offrono servizi/prodotti business-</w:t>
      </w:r>
      <w:proofErr w:type="spellStart"/>
      <w:r w:rsidRPr="00B1013E">
        <w:t>critical</w:t>
      </w:r>
      <w:proofErr w:type="spellEnd"/>
      <w:r w:rsidRPr="00B1013E">
        <w:t xml:space="preserve"> sembrano particolarmente ben posizionate per generare flussi di cassa ricorrenti e potenzialmente aumentare i propri ricavi.  </w:t>
      </w:r>
    </w:p>
    <w:p w14:paraId="747C8A3E" w14:textId="77777777" w:rsidR="00143A9D" w:rsidRPr="00B1013E" w:rsidRDefault="00143A9D" w:rsidP="00143A9D">
      <w:pPr>
        <w:spacing w:after="0" w:line="240" w:lineRule="auto"/>
        <w:contextualSpacing/>
      </w:pPr>
    </w:p>
    <w:p w14:paraId="39206915" w14:textId="16C8B594" w:rsidR="00451756" w:rsidRPr="00B1013E" w:rsidRDefault="00BA26E3" w:rsidP="00143A9D">
      <w:pPr>
        <w:spacing w:after="0" w:line="240" w:lineRule="auto"/>
        <w:contextualSpacing/>
        <w:outlineLvl w:val="2"/>
        <w:rPr>
          <w:rFonts w:eastAsia="Times New Roman" w:cstheme="minorHAnsi"/>
          <w:kern w:val="0"/>
          <w:u w:val="single"/>
          <w:lang w:eastAsia="it-IT"/>
          <w14:ligatures w14:val="none"/>
        </w:rPr>
      </w:pPr>
      <w:r w:rsidRPr="00B1013E">
        <w:rPr>
          <w:rFonts w:eastAsia="Times New Roman" w:cstheme="minorHAnsi"/>
          <w:kern w:val="0"/>
          <w:u w:val="single"/>
          <w:lang w:eastAsia="it-IT"/>
          <w14:ligatures w14:val="none"/>
        </w:rPr>
        <w:t xml:space="preserve">Guardando al 2024 </w:t>
      </w:r>
    </w:p>
    <w:p w14:paraId="79290AF5" w14:textId="5BE2DB38" w:rsidR="00376A3A" w:rsidRPr="00903E35" w:rsidRDefault="00DF2E8D" w:rsidP="00143A9D">
      <w:pPr>
        <w:spacing w:after="0" w:line="240" w:lineRule="auto"/>
        <w:contextualSpacing/>
      </w:pPr>
      <w:r w:rsidRPr="00B1013E">
        <w:t xml:space="preserve">La </w:t>
      </w:r>
      <w:r w:rsidR="00E7492D" w:rsidRPr="00B1013E">
        <w:t xml:space="preserve">solidità </w:t>
      </w:r>
      <w:r w:rsidRPr="00B1013E">
        <w:t xml:space="preserve">dell’economia statunitense, alimentata dalla resilienza dei consumatori americani, ha rafforzato le speranze per uno scenario di </w:t>
      </w:r>
      <w:r w:rsidRPr="00B1013E">
        <w:rPr>
          <w:b/>
          <w:bCs/>
        </w:rPr>
        <w:t>atterraggio morbido nel 2024</w:t>
      </w:r>
      <w:r w:rsidRPr="00B1013E">
        <w:t xml:space="preserve">. Se ciò dovesse verificarsi e la recessione fosse evitata, </w:t>
      </w:r>
      <w:r w:rsidRPr="00B1013E">
        <w:rPr>
          <w:b/>
          <w:bCs/>
        </w:rPr>
        <w:t xml:space="preserve">ci sono molti elementi in atto che suggeriscono che le aziende più piccole possono ottenere buoni risultati. Le valutazioni relative, rispetto alle società più grandi, sono scese a livelli storicamente bassi, nonostante gli utili siano rimasti relativamente resilienti, e la storia ci insegna che le società a piccola capitalizzazione hanno fortemente sovraperformato in un contesto economico in miglioramento. </w:t>
      </w:r>
      <w:r w:rsidRPr="00B1013E">
        <w:t xml:space="preserve">Considerati </w:t>
      </w:r>
      <w:proofErr w:type="gramStart"/>
      <w:r w:rsidRPr="00B1013E">
        <w:t>i forti trend</w:t>
      </w:r>
      <w:proofErr w:type="gramEnd"/>
      <w:r w:rsidRPr="00B1013E">
        <w:t xml:space="preserve"> di </w:t>
      </w:r>
      <w:proofErr w:type="spellStart"/>
      <w:r w:rsidRPr="00B1013E">
        <w:t>onshoring</w:t>
      </w:r>
      <w:proofErr w:type="spellEnd"/>
      <w:r w:rsidRPr="00B1013E">
        <w:t xml:space="preserve"> e un dollaro forte che fornisce vantaggi favorevoli, gli investitori potrebbero prendere in considerazione l’idea di aggiungere un’esposizione a piccola capitalizzazione, concentrandosi su quelle aziende che guidano guadagni di produttività e/o che hanno un potere di determinazione dei prezzi.</w:t>
      </w:r>
    </w:p>
    <w:sectPr w:rsidR="00376A3A" w:rsidRPr="00903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6A36"/>
    <w:multiLevelType w:val="multilevel"/>
    <w:tmpl w:val="D030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629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56"/>
    <w:rsid w:val="00010B6A"/>
    <w:rsid w:val="00036B95"/>
    <w:rsid w:val="00040495"/>
    <w:rsid w:val="000A6765"/>
    <w:rsid w:val="000B2E46"/>
    <w:rsid w:val="000E6027"/>
    <w:rsid w:val="000F75A5"/>
    <w:rsid w:val="001415F3"/>
    <w:rsid w:val="00143A9D"/>
    <w:rsid w:val="00172CFB"/>
    <w:rsid w:val="00206414"/>
    <w:rsid w:val="00296EF8"/>
    <w:rsid w:val="003366B4"/>
    <w:rsid w:val="00376A3A"/>
    <w:rsid w:val="003D7ADD"/>
    <w:rsid w:val="00436466"/>
    <w:rsid w:val="00437B12"/>
    <w:rsid w:val="00451756"/>
    <w:rsid w:val="004E2823"/>
    <w:rsid w:val="004E6F63"/>
    <w:rsid w:val="00516C96"/>
    <w:rsid w:val="005E6509"/>
    <w:rsid w:val="00636291"/>
    <w:rsid w:val="0064232C"/>
    <w:rsid w:val="006613B4"/>
    <w:rsid w:val="00662983"/>
    <w:rsid w:val="007168BB"/>
    <w:rsid w:val="007240F9"/>
    <w:rsid w:val="00757D59"/>
    <w:rsid w:val="00787D6D"/>
    <w:rsid w:val="008067D3"/>
    <w:rsid w:val="00810A0C"/>
    <w:rsid w:val="00857A8D"/>
    <w:rsid w:val="00877889"/>
    <w:rsid w:val="00903E35"/>
    <w:rsid w:val="0095795E"/>
    <w:rsid w:val="00965956"/>
    <w:rsid w:val="009B2803"/>
    <w:rsid w:val="009B55F1"/>
    <w:rsid w:val="00A22A88"/>
    <w:rsid w:val="00A35A27"/>
    <w:rsid w:val="00A778CA"/>
    <w:rsid w:val="00A95C87"/>
    <w:rsid w:val="00B1013E"/>
    <w:rsid w:val="00B56A46"/>
    <w:rsid w:val="00BA26E3"/>
    <w:rsid w:val="00BD76B6"/>
    <w:rsid w:val="00BE2E20"/>
    <w:rsid w:val="00C76976"/>
    <w:rsid w:val="00CC0A0D"/>
    <w:rsid w:val="00D07E32"/>
    <w:rsid w:val="00D707E0"/>
    <w:rsid w:val="00D96E27"/>
    <w:rsid w:val="00DC246B"/>
    <w:rsid w:val="00DF2CF2"/>
    <w:rsid w:val="00DF2E8D"/>
    <w:rsid w:val="00E1600D"/>
    <w:rsid w:val="00E7492D"/>
    <w:rsid w:val="00EC03D9"/>
    <w:rsid w:val="00ED5BBE"/>
    <w:rsid w:val="00E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AC97"/>
  <w15:chartTrackingRefBased/>
  <w15:docId w15:val="{D504AB7A-6DCD-4DBB-9AE4-E2E39358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51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451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451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175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175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1756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customStyle="1" w:styleId="aem-gridcolumn">
    <w:name w:val="aem-gridcolumn"/>
    <w:basedOn w:val="Normale"/>
    <w:rsid w:val="0045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gims-article-infoauthor">
    <w:name w:val="gims-article-info__author"/>
    <w:basedOn w:val="Normale"/>
    <w:rsid w:val="0045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51756"/>
    <w:rPr>
      <w:color w:val="0000FF"/>
      <w:u w:val="single"/>
    </w:rPr>
  </w:style>
  <w:style w:type="character" w:customStyle="1" w:styleId="gims-article-infoauthortitle">
    <w:name w:val="gims-article-info__author__title"/>
    <w:basedOn w:val="Carpredefinitoparagrafo"/>
    <w:rsid w:val="00451756"/>
  </w:style>
  <w:style w:type="paragraph" w:styleId="NormaleWeb">
    <w:name w:val="Normal (Web)"/>
    <w:basedOn w:val="Normale"/>
    <w:uiPriority w:val="99"/>
    <w:semiHidden/>
    <w:unhideWhenUsed/>
    <w:rsid w:val="0045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757D59"/>
    <w:pPr>
      <w:ind w:left="720"/>
      <w:contextualSpacing/>
    </w:pPr>
  </w:style>
  <w:style w:type="paragraph" w:customStyle="1" w:styleId="xmprfxelementtoproof">
    <w:name w:val="xmprfx_elementtoproof"/>
    <w:basedOn w:val="Normale"/>
    <w:rsid w:val="0081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Revisione">
    <w:name w:val="Revision"/>
    <w:hidden/>
    <w:uiPriority w:val="99"/>
    <w:semiHidden/>
    <w:rsid w:val="00A9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77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589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4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5437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7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75695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4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51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88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33339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4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421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987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840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3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4493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3682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8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1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133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45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5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69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Ferla</dc:creator>
  <cp:keywords/>
  <dc:description/>
  <cp:lastModifiedBy>Massimo Morici</cp:lastModifiedBy>
  <cp:revision>11</cp:revision>
  <dcterms:created xsi:type="dcterms:W3CDTF">2024-01-17T09:28:00Z</dcterms:created>
  <dcterms:modified xsi:type="dcterms:W3CDTF">2024-02-20T09:22:00Z</dcterms:modified>
</cp:coreProperties>
</file>