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8A793" w14:textId="4350EFD7" w:rsidR="005F6F37" w:rsidRPr="00391CF1" w:rsidRDefault="009D3276" w:rsidP="00391CF1">
      <w:pPr>
        <w:spacing w:after="0" w:line="240" w:lineRule="auto"/>
        <w:contextualSpacing/>
        <w:rPr>
          <w:rFonts w:ascii="Calibri" w:hAnsi="Calibri" w:cs="Calibri"/>
          <w:b/>
          <w:bCs/>
        </w:rPr>
      </w:pPr>
      <w:r w:rsidRPr="00391CF1">
        <w:rPr>
          <w:rFonts w:ascii="Calibri" w:hAnsi="Calibri" w:cs="Calibri"/>
          <w:b/>
          <w:bCs/>
        </w:rPr>
        <w:t xml:space="preserve">Schroders: </w:t>
      </w:r>
      <w:r w:rsidR="00C94289" w:rsidRPr="00391CF1">
        <w:rPr>
          <w:rFonts w:ascii="Calibri" w:hAnsi="Calibri" w:cs="Calibri"/>
          <w:b/>
          <w:bCs/>
        </w:rPr>
        <w:t xml:space="preserve">Le società </w:t>
      </w:r>
      <w:r w:rsidR="00F367A9" w:rsidRPr="00391CF1">
        <w:rPr>
          <w:rFonts w:ascii="Calibri" w:hAnsi="Calibri" w:cs="Calibri"/>
          <w:b/>
          <w:bCs/>
        </w:rPr>
        <w:t xml:space="preserve">più piccole </w:t>
      </w:r>
      <w:r w:rsidRPr="00391CF1">
        <w:rPr>
          <w:rFonts w:ascii="Calibri" w:hAnsi="Calibri" w:cs="Calibri"/>
          <w:b/>
          <w:bCs/>
        </w:rPr>
        <w:t>possono</w:t>
      </w:r>
      <w:r w:rsidR="00C94289" w:rsidRPr="00391CF1">
        <w:rPr>
          <w:rFonts w:ascii="Calibri" w:hAnsi="Calibri" w:cs="Calibri"/>
          <w:b/>
          <w:bCs/>
        </w:rPr>
        <w:t xml:space="preserve"> </w:t>
      </w:r>
      <w:r w:rsidRPr="00391CF1">
        <w:rPr>
          <w:rFonts w:ascii="Calibri" w:hAnsi="Calibri" w:cs="Calibri"/>
          <w:b/>
          <w:bCs/>
        </w:rPr>
        <w:t>brillare</w:t>
      </w:r>
      <w:r w:rsidR="00C94289" w:rsidRPr="00391CF1">
        <w:rPr>
          <w:rFonts w:ascii="Calibri" w:hAnsi="Calibri" w:cs="Calibri"/>
          <w:b/>
          <w:bCs/>
        </w:rPr>
        <w:t xml:space="preserve"> nonostante </w:t>
      </w:r>
      <w:r w:rsidRPr="00391CF1">
        <w:rPr>
          <w:rFonts w:ascii="Calibri" w:hAnsi="Calibri" w:cs="Calibri"/>
          <w:b/>
          <w:bCs/>
        </w:rPr>
        <w:t>il</w:t>
      </w:r>
      <w:r w:rsidR="00C94289" w:rsidRPr="00391CF1">
        <w:rPr>
          <w:rFonts w:ascii="Calibri" w:hAnsi="Calibri" w:cs="Calibri"/>
          <w:b/>
          <w:bCs/>
        </w:rPr>
        <w:t xml:space="preserve"> contesto cupo</w:t>
      </w:r>
      <w:r w:rsidR="005F6F37" w:rsidRPr="00391CF1">
        <w:rPr>
          <w:rFonts w:ascii="Calibri" w:hAnsi="Calibri" w:cs="Calibri"/>
          <w:b/>
          <w:bCs/>
        </w:rPr>
        <w:t>?</w:t>
      </w:r>
    </w:p>
    <w:p w14:paraId="44E62543" w14:textId="77777777" w:rsidR="00391CF1" w:rsidRDefault="00391CF1" w:rsidP="00391CF1">
      <w:pPr>
        <w:spacing w:after="0" w:line="240" w:lineRule="auto"/>
        <w:contextualSpacing/>
        <w:rPr>
          <w:rFonts w:ascii="Calibri" w:hAnsi="Calibri" w:cs="Calibri"/>
          <w:lang w:val="en-US"/>
        </w:rPr>
      </w:pPr>
    </w:p>
    <w:p w14:paraId="2311F141" w14:textId="58F18773" w:rsidR="009D3276" w:rsidRPr="00391CF1" w:rsidRDefault="009D3276" w:rsidP="00391CF1">
      <w:pPr>
        <w:spacing w:after="0" w:line="240" w:lineRule="auto"/>
        <w:contextualSpacing/>
        <w:rPr>
          <w:rFonts w:ascii="Calibri" w:hAnsi="Calibri" w:cs="Calibri"/>
          <w:b/>
          <w:bCs/>
          <w:lang w:val="en-US"/>
        </w:rPr>
      </w:pPr>
      <w:r w:rsidRPr="00391CF1">
        <w:rPr>
          <w:rFonts w:ascii="Calibri" w:hAnsi="Calibri" w:cs="Calibri"/>
          <w:lang w:val="en-US"/>
        </w:rPr>
        <w:t xml:space="preserve">A </w:t>
      </w:r>
      <w:proofErr w:type="spellStart"/>
      <w:r w:rsidRPr="00391CF1">
        <w:rPr>
          <w:rFonts w:ascii="Calibri" w:hAnsi="Calibri" w:cs="Calibri"/>
          <w:lang w:val="en-US"/>
        </w:rPr>
        <w:t>cura</w:t>
      </w:r>
      <w:proofErr w:type="spellEnd"/>
      <w:r w:rsidRPr="00391CF1">
        <w:rPr>
          <w:rFonts w:ascii="Calibri" w:hAnsi="Calibri" w:cs="Calibri"/>
          <w:lang w:val="en-US"/>
        </w:rPr>
        <w:t xml:space="preserve"> di </w:t>
      </w:r>
      <w:r w:rsidRPr="00391CF1">
        <w:rPr>
          <w:rFonts w:ascii="Calibri" w:hAnsi="Calibri" w:cs="Calibri"/>
          <w:b/>
          <w:bCs/>
          <w:lang w:val="en-US"/>
        </w:rPr>
        <w:t>Robert Starkey, Portfolio Manager, Schroder Investment Solutions, Schroders</w:t>
      </w:r>
    </w:p>
    <w:p w14:paraId="589766D5" w14:textId="77777777" w:rsidR="00834EB1" w:rsidRPr="00391CF1" w:rsidRDefault="00834EB1" w:rsidP="00391CF1">
      <w:pPr>
        <w:spacing w:after="0" w:line="240" w:lineRule="auto"/>
        <w:contextualSpacing/>
        <w:rPr>
          <w:rFonts w:ascii="Calibri" w:hAnsi="Calibri" w:cs="Calibri"/>
          <w:lang w:val="en-US"/>
        </w:rPr>
      </w:pPr>
    </w:p>
    <w:p w14:paraId="13F25DC2" w14:textId="0E69501F" w:rsidR="005F6F37" w:rsidRDefault="00E9120A" w:rsidP="00391CF1">
      <w:pPr>
        <w:spacing w:after="0" w:line="240" w:lineRule="auto"/>
        <w:contextualSpacing/>
        <w:rPr>
          <w:rFonts w:ascii="Calibri" w:hAnsi="Calibri" w:cs="Calibri"/>
          <w:b/>
          <w:bCs/>
        </w:rPr>
      </w:pPr>
      <w:r w:rsidRPr="00391CF1">
        <w:rPr>
          <w:rFonts w:ascii="Calibri" w:hAnsi="Calibri" w:cs="Calibri"/>
        </w:rPr>
        <w:t xml:space="preserve">Investire </w:t>
      </w:r>
      <w:r w:rsidR="009D3276" w:rsidRPr="00391CF1">
        <w:rPr>
          <w:rFonts w:ascii="Calibri" w:hAnsi="Calibri" w:cs="Calibri"/>
        </w:rPr>
        <w:t xml:space="preserve">nei titoli delle </w:t>
      </w:r>
      <w:r w:rsidRPr="00391CF1">
        <w:rPr>
          <w:rFonts w:ascii="Calibri" w:hAnsi="Calibri" w:cs="Calibri"/>
        </w:rPr>
        <w:t xml:space="preserve">small </w:t>
      </w:r>
      <w:proofErr w:type="spellStart"/>
      <w:r w:rsidRPr="00391CF1">
        <w:rPr>
          <w:rFonts w:ascii="Calibri" w:hAnsi="Calibri" w:cs="Calibri"/>
        </w:rPr>
        <w:t>cap</w:t>
      </w:r>
      <w:proofErr w:type="spellEnd"/>
      <w:r w:rsidRPr="00391CF1">
        <w:rPr>
          <w:rFonts w:ascii="Calibri" w:hAnsi="Calibri" w:cs="Calibri"/>
        </w:rPr>
        <w:t xml:space="preserve"> in un momento di difficoltà economica può risultare </w:t>
      </w:r>
      <w:r w:rsidR="00C50D49" w:rsidRPr="00391CF1">
        <w:rPr>
          <w:rFonts w:ascii="Calibri" w:hAnsi="Calibri" w:cs="Calibri"/>
        </w:rPr>
        <w:t>sfidante</w:t>
      </w:r>
      <w:r w:rsidRPr="00391CF1">
        <w:rPr>
          <w:rFonts w:ascii="Calibri" w:hAnsi="Calibri" w:cs="Calibri"/>
        </w:rPr>
        <w:t xml:space="preserve">. Tuttavia, </w:t>
      </w:r>
      <w:r w:rsidR="009D3276" w:rsidRPr="00391CF1">
        <w:rPr>
          <w:rFonts w:ascii="Calibri" w:hAnsi="Calibri" w:cs="Calibri"/>
          <w:b/>
          <w:bCs/>
        </w:rPr>
        <w:t>la storia ci insegna</w:t>
      </w:r>
      <w:r w:rsidRPr="00391CF1">
        <w:rPr>
          <w:rFonts w:ascii="Calibri" w:hAnsi="Calibri" w:cs="Calibri"/>
          <w:b/>
          <w:bCs/>
        </w:rPr>
        <w:t xml:space="preserve"> che questo p</w:t>
      </w:r>
      <w:r w:rsidR="00F367A9" w:rsidRPr="00391CF1">
        <w:rPr>
          <w:rFonts w:ascii="Calibri" w:hAnsi="Calibri" w:cs="Calibri"/>
          <w:b/>
          <w:bCs/>
        </w:rPr>
        <w:t>otrebbe</w:t>
      </w:r>
      <w:r w:rsidRPr="00391CF1">
        <w:rPr>
          <w:rFonts w:ascii="Calibri" w:hAnsi="Calibri" w:cs="Calibri"/>
          <w:b/>
          <w:bCs/>
        </w:rPr>
        <w:t xml:space="preserve"> essere un buon momento per iniziare a </w:t>
      </w:r>
      <w:r w:rsidR="00F367A9" w:rsidRPr="00391CF1">
        <w:rPr>
          <w:rFonts w:ascii="Calibri" w:hAnsi="Calibri" w:cs="Calibri"/>
          <w:b/>
          <w:bCs/>
        </w:rPr>
        <w:t>valutare</w:t>
      </w:r>
      <w:r w:rsidRPr="00391CF1">
        <w:rPr>
          <w:rFonts w:ascii="Calibri" w:hAnsi="Calibri" w:cs="Calibri"/>
          <w:b/>
          <w:bCs/>
        </w:rPr>
        <w:t xml:space="preserve"> queste società </w:t>
      </w:r>
      <w:r w:rsidR="00F367A9" w:rsidRPr="00391CF1">
        <w:rPr>
          <w:rFonts w:ascii="Calibri" w:hAnsi="Calibri" w:cs="Calibri"/>
          <w:b/>
          <w:bCs/>
        </w:rPr>
        <w:t xml:space="preserve">in </w:t>
      </w:r>
      <w:r w:rsidRPr="00391CF1">
        <w:rPr>
          <w:rFonts w:ascii="Calibri" w:hAnsi="Calibri" w:cs="Calibri"/>
          <w:b/>
          <w:bCs/>
        </w:rPr>
        <w:t xml:space="preserve">un portafoglio diversificato. Abbiamo analizzato i dati degli ultimi </w:t>
      </w:r>
      <w:r w:rsidR="008B2C7E" w:rsidRPr="00391CF1">
        <w:rPr>
          <w:rFonts w:ascii="Calibri" w:hAnsi="Calibri" w:cs="Calibri"/>
          <w:b/>
          <w:bCs/>
        </w:rPr>
        <w:t>cinque decenni</w:t>
      </w:r>
      <w:r w:rsidRPr="00391CF1">
        <w:rPr>
          <w:rFonts w:ascii="Calibri" w:hAnsi="Calibri" w:cs="Calibri"/>
          <w:b/>
          <w:bCs/>
        </w:rPr>
        <w:t xml:space="preserve"> per trarre alcuni spunti.</w:t>
      </w:r>
    </w:p>
    <w:p w14:paraId="75887426" w14:textId="77777777" w:rsidR="00391CF1" w:rsidRPr="00391CF1" w:rsidRDefault="00391CF1" w:rsidP="00391CF1">
      <w:pPr>
        <w:spacing w:after="0" w:line="240" w:lineRule="auto"/>
        <w:contextualSpacing/>
        <w:rPr>
          <w:rFonts w:ascii="Calibri" w:hAnsi="Calibri" w:cs="Calibri"/>
          <w:b/>
          <w:bCs/>
        </w:rPr>
      </w:pPr>
    </w:p>
    <w:p w14:paraId="50C09273" w14:textId="54DE0D1A" w:rsidR="005F6F37" w:rsidRPr="00391CF1" w:rsidRDefault="00834EB1" w:rsidP="00391CF1">
      <w:pPr>
        <w:spacing w:after="0" w:line="240" w:lineRule="auto"/>
        <w:contextualSpacing/>
        <w:rPr>
          <w:rFonts w:ascii="Calibri" w:hAnsi="Calibri" w:cs="Calibri"/>
          <w:u w:val="single"/>
        </w:rPr>
      </w:pPr>
      <w:r w:rsidRPr="00391CF1">
        <w:rPr>
          <w:rFonts w:ascii="Calibri" w:hAnsi="Calibri" w:cs="Calibri"/>
          <w:u w:val="single"/>
        </w:rPr>
        <w:t>La sfera di cristallo de</w:t>
      </w:r>
      <w:r w:rsidR="00732BD8" w:rsidRPr="00391CF1">
        <w:rPr>
          <w:rFonts w:ascii="Calibri" w:hAnsi="Calibri" w:cs="Calibri"/>
          <w:u w:val="single"/>
        </w:rPr>
        <w:t xml:space="preserve">l mercato azionario </w:t>
      </w:r>
    </w:p>
    <w:p w14:paraId="7F4BAE2E" w14:textId="1848752E" w:rsidR="005F6F37" w:rsidRDefault="003C563A" w:rsidP="00391CF1">
      <w:pPr>
        <w:spacing w:after="0" w:line="240" w:lineRule="auto"/>
        <w:contextualSpacing/>
        <w:rPr>
          <w:rFonts w:ascii="Calibri" w:hAnsi="Calibri" w:cs="Calibri"/>
        </w:rPr>
      </w:pPr>
      <w:r w:rsidRPr="00391CF1">
        <w:rPr>
          <w:rFonts w:ascii="Calibri" w:hAnsi="Calibri" w:cs="Calibri"/>
          <w:b/>
          <w:bCs/>
        </w:rPr>
        <w:t xml:space="preserve">Uno dei migliori indicatori anticipatori è </w:t>
      </w:r>
      <w:r w:rsidR="001F397F" w:rsidRPr="00391CF1">
        <w:rPr>
          <w:rFonts w:ascii="Calibri" w:hAnsi="Calibri" w:cs="Calibri"/>
          <w:b/>
          <w:bCs/>
        </w:rPr>
        <w:t xml:space="preserve">lo stesso </w:t>
      </w:r>
      <w:r w:rsidRPr="00391CF1">
        <w:rPr>
          <w:rFonts w:ascii="Calibri" w:hAnsi="Calibri" w:cs="Calibri"/>
          <w:b/>
          <w:bCs/>
        </w:rPr>
        <w:t>mercato azionario</w:t>
      </w:r>
      <w:r w:rsidRPr="00391CF1">
        <w:rPr>
          <w:rFonts w:ascii="Calibri" w:hAnsi="Calibri" w:cs="Calibri"/>
        </w:rPr>
        <w:t xml:space="preserve">. Questo perché gli investitori non si preoccupano solo delle notizie </w:t>
      </w:r>
      <w:r w:rsidR="001F397F" w:rsidRPr="00391CF1">
        <w:rPr>
          <w:rFonts w:ascii="Calibri" w:hAnsi="Calibri" w:cs="Calibri"/>
        </w:rPr>
        <w:t>odierne</w:t>
      </w:r>
      <w:r w:rsidRPr="00391CF1">
        <w:rPr>
          <w:rFonts w:ascii="Calibri" w:hAnsi="Calibri" w:cs="Calibri"/>
        </w:rPr>
        <w:t>, ma anche d</w:t>
      </w:r>
      <w:r w:rsidR="001F397F" w:rsidRPr="00391CF1">
        <w:rPr>
          <w:rFonts w:ascii="Calibri" w:hAnsi="Calibri" w:cs="Calibri"/>
        </w:rPr>
        <w:t>egli andamenti futuri</w:t>
      </w:r>
      <w:r w:rsidRPr="00391CF1">
        <w:rPr>
          <w:rFonts w:ascii="Calibri" w:hAnsi="Calibri" w:cs="Calibri"/>
        </w:rPr>
        <w:t>. Gli investitori prevedono come potrebbe evolversi il futuro e</w:t>
      </w:r>
      <w:r w:rsidR="001F397F" w:rsidRPr="00391CF1">
        <w:rPr>
          <w:rFonts w:ascii="Calibri" w:hAnsi="Calibri" w:cs="Calibri"/>
        </w:rPr>
        <w:t>d</w:t>
      </w:r>
      <w:r w:rsidRPr="00391CF1">
        <w:rPr>
          <w:rFonts w:ascii="Calibri" w:hAnsi="Calibri" w:cs="Calibri"/>
        </w:rPr>
        <w:t xml:space="preserve"> </w:t>
      </w:r>
      <w:r w:rsidR="001F397F" w:rsidRPr="00391CF1">
        <w:rPr>
          <w:rFonts w:ascii="Calibri" w:hAnsi="Calibri" w:cs="Calibri"/>
        </w:rPr>
        <w:t>eseguono</w:t>
      </w:r>
      <w:r w:rsidRPr="00391CF1">
        <w:rPr>
          <w:rFonts w:ascii="Calibri" w:hAnsi="Calibri" w:cs="Calibri"/>
        </w:rPr>
        <w:t xml:space="preserve"> </w:t>
      </w:r>
      <w:r w:rsidR="001F397F" w:rsidRPr="00391CF1">
        <w:rPr>
          <w:rFonts w:ascii="Calibri" w:hAnsi="Calibri" w:cs="Calibri"/>
        </w:rPr>
        <w:t xml:space="preserve">di conseguenza delle </w:t>
      </w:r>
      <w:r w:rsidRPr="00391CF1">
        <w:rPr>
          <w:rFonts w:ascii="Calibri" w:hAnsi="Calibri" w:cs="Calibri"/>
        </w:rPr>
        <w:t xml:space="preserve">transazioni </w:t>
      </w:r>
      <w:r w:rsidR="00C50D49" w:rsidRPr="00391CF1">
        <w:rPr>
          <w:rFonts w:ascii="Calibri" w:hAnsi="Calibri" w:cs="Calibri"/>
        </w:rPr>
        <w:t>nei titoli delle aziende</w:t>
      </w:r>
      <w:r w:rsidRPr="00391CF1">
        <w:rPr>
          <w:rFonts w:ascii="Calibri" w:hAnsi="Calibri" w:cs="Calibri"/>
        </w:rPr>
        <w:t xml:space="preserve">, facendo salire o scendere il prezzo delle azioni prima delle notizie effettive. Ciò significa che, ad esempio, quando una società annuncia </w:t>
      </w:r>
      <w:r w:rsidR="009D3276" w:rsidRPr="00391CF1">
        <w:rPr>
          <w:rFonts w:ascii="Calibri" w:hAnsi="Calibri" w:cs="Calibri"/>
        </w:rPr>
        <w:t>di quanto sono aumentate le sue vendite</w:t>
      </w:r>
      <w:r w:rsidRPr="00391CF1">
        <w:rPr>
          <w:rFonts w:ascii="Calibri" w:hAnsi="Calibri" w:cs="Calibri"/>
        </w:rPr>
        <w:t xml:space="preserve">, il prezzo delle azioni </w:t>
      </w:r>
      <w:r w:rsidR="00C50D49" w:rsidRPr="00391CF1">
        <w:rPr>
          <w:rFonts w:ascii="Calibri" w:hAnsi="Calibri" w:cs="Calibri"/>
        </w:rPr>
        <w:t xml:space="preserve">quel giorno </w:t>
      </w:r>
      <w:r w:rsidRPr="00391CF1">
        <w:rPr>
          <w:rFonts w:ascii="Calibri" w:hAnsi="Calibri" w:cs="Calibri"/>
        </w:rPr>
        <w:t>potrebbe non cambiare</w:t>
      </w:r>
      <w:r w:rsidR="008B2C7E" w:rsidRPr="00391CF1">
        <w:rPr>
          <w:rFonts w:ascii="Calibri" w:hAnsi="Calibri" w:cs="Calibri"/>
        </w:rPr>
        <w:t>,</w:t>
      </w:r>
      <w:r w:rsidRPr="00391CF1">
        <w:rPr>
          <w:rFonts w:ascii="Calibri" w:hAnsi="Calibri" w:cs="Calibri"/>
        </w:rPr>
        <w:t xml:space="preserve"> se la società </w:t>
      </w:r>
      <w:r w:rsidR="001F397F" w:rsidRPr="00391CF1">
        <w:rPr>
          <w:rFonts w:ascii="Calibri" w:hAnsi="Calibri" w:cs="Calibri"/>
        </w:rPr>
        <w:t>fosse</w:t>
      </w:r>
      <w:r w:rsidRPr="00391CF1">
        <w:rPr>
          <w:rFonts w:ascii="Calibri" w:hAnsi="Calibri" w:cs="Calibri"/>
        </w:rPr>
        <w:t xml:space="preserve"> cresciuta nella misura prevista dagli investitori. </w:t>
      </w:r>
      <w:r w:rsidR="008C7CEB" w:rsidRPr="00391CF1">
        <w:rPr>
          <w:rFonts w:ascii="Calibri" w:hAnsi="Calibri" w:cs="Calibri"/>
        </w:rPr>
        <w:t xml:space="preserve">Ciò che piuttosto tende a far muovere il prezzo delle azioni nel corso della giornata è quando l'annuncio è superiore o inferiore alle aspettative. Le azioni a piccola capitalizzazione non sono da meno, e ciò può costituire un indizio che ci guida verso ciò che potrebbe </w:t>
      </w:r>
      <w:r w:rsidR="001C653E" w:rsidRPr="00391CF1">
        <w:rPr>
          <w:rFonts w:ascii="Calibri" w:hAnsi="Calibri" w:cs="Calibri"/>
        </w:rPr>
        <w:t>riservare il</w:t>
      </w:r>
      <w:r w:rsidR="008C7CEB" w:rsidRPr="00391CF1">
        <w:rPr>
          <w:rFonts w:ascii="Calibri" w:hAnsi="Calibri" w:cs="Calibri"/>
        </w:rPr>
        <w:t xml:space="preserve"> futuro</w:t>
      </w:r>
      <w:r w:rsidR="001C653E" w:rsidRPr="00391CF1">
        <w:rPr>
          <w:rFonts w:ascii="Calibri" w:hAnsi="Calibri" w:cs="Calibri"/>
        </w:rPr>
        <w:t xml:space="preserve"> per loro</w:t>
      </w:r>
      <w:r w:rsidR="005F6F37" w:rsidRPr="00391CF1">
        <w:rPr>
          <w:rFonts w:ascii="Calibri" w:hAnsi="Calibri" w:cs="Calibri"/>
        </w:rPr>
        <w:t>.</w:t>
      </w:r>
    </w:p>
    <w:p w14:paraId="4508AAB8" w14:textId="77777777" w:rsidR="00391CF1" w:rsidRPr="00391CF1" w:rsidRDefault="00391CF1" w:rsidP="00391CF1">
      <w:pPr>
        <w:spacing w:after="0" w:line="240" w:lineRule="auto"/>
        <w:contextualSpacing/>
        <w:rPr>
          <w:rFonts w:ascii="Calibri" w:hAnsi="Calibri" w:cs="Calibri"/>
        </w:rPr>
      </w:pPr>
    </w:p>
    <w:p w14:paraId="0ADB20E5" w14:textId="700B295F" w:rsidR="005F6F37" w:rsidRPr="00391CF1" w:rsidRDefault="00841242" w:rsidP="00391CF1">
      <w:pPr>
        <w:spacing w:after="0" w:line="240" w:lineRule="auto"/>
        <w:contextualSpacing/>
        <w:rPr>
          <w:rFonts w:ascii="Calibri" w:hAnsi="Calibri" w:cs="Calibri"/>
          <w:u w:val="single"/>
        </w:rPr>
      </w:pPr>
      <w:r w:rsidRPr="00391CF1">
        <w:rPr>
          <w:rFonts w:ascii="Calibri" w:hAnsi="Calibri" w:cs="Calibri"/>
          <w:u w:val="single"/>
        </w:rPr>
        <w:t xml:space="preserve">Previsioni del mercato </w:t>
      </w:r>
    </w:p>
    <w:p w14:paraId="65E52531" w14:textId="5453550A" w:rsidR="005F6F37" w:rsidRDefault="00561D5B" w:rsidP="00391CF1">
      <w:pPr>
        <w:spacing w:after="0" w:line="240" w:lineRule="auto"/>
        <w:contextualSpacing/>
        <w:rPr>
          <w:rFonts w:ascii="Calibri" w:hAnsi="Calibri" w:cs="Calibri"/>
        </w:rPr>
      </w:pPr>
      <w:r w:rsidRPr="00391CF1">
        <w:rPr>
          <w:rFonts w:ascii="Calibri" w:hAnsi="Calibri" w:cs="Calibri"/>
          <w:b/>
          <w:bCs/>
        </w:rPr>
        <w:t xml:space="preserve">Nel corso dell'ultimo anno, </w:t>
      </w:r>
      <w:r w:rsidR="00C50D49" w:rsidRPr="00391CF1">
        <w:rPr>
          <w:rFonts w:ascii="Calibri" w:hAnsi="Calibri" w:cs="Calibri"/>
          <w:b/>
          <w:bCs/>
        </w:rPr>
        <w:t>il destino</w:t>
      </w:r>
      <w:r w:rsidRPr="00391CF1">
        <w:rPr>
          <w:rFonts w:ascii="Calibri" w:hAnsi="Calibri" w:cs="Calibri"/>
          <w:b/>
          <w:bCs/>
        </w:rPr>
        <w:t xml:space="preserve"> delle imprese</w:t>
      </w:r>
      <w:r w:rsidR="009A69D2" w:rsidRPr="00391CF1">
        <w:rPr>
          <w:rFonts w:ascii="Calibri" w:hAnsi="Calibri" w:cs="Calibri"/>
          <w:b/>
          <w:bCs/>
        </w:rPr>
        <w:t>, di dimensioni</w:t>
      </w:r>
      <w:r w:rsidRPr="00391CF1">
        <w:rPr>
          <w:rFonts w:ascii="Calibri" w:hAnsi="Calibri" w:cs="Calibri"/>
          <w:b/>
          <w:bCs/>
        </w:rPr>
        <w:t xml:space="preserve"> grandi e piccole</w:t>
      </w:r>
      <w:r w:rsidR="009A69D2" w:rsidRPr="00391CF1">
        <w:rPr>
          <w:rFonts w:ascii="Calibri" w:hAnsi="Calibri" w:cs="Calibri"/>
          <w:b/>
          <w:bCs/>
        </w:rPr>
        <w:t>,</w:t>
      </w:r>
      <w:r w:rsidRPr="00391CF1">
        <w:rPr>
          <w:rFonts w:ascii="Calibri" w:hAnsi="Calibri" w:cs="Calibri"/>
          <w:b/>
          <w:bCs/>
        </w:rPr>
        <w:t xml:space="preserve"> a livello mondiale </w:t>
      </w:r>
      <w:r w:rsidR="00C50D49" w:rsidRPr="00391CF1">
        <w:rPr>
          <w:rFonts w:ascii="Calibri" w:hAnsi="Calibri" w:cs="Calibri"/>
          <w:b/>
          <w:bCs/>
        </w:rPr>
        <w:t>è stato</w:t>
      </w:r>
      <w:r w:rsidRPr="00391CF1">
        <w:rPr>
          <w:rFonts w:ascii="Calibri" w:hAnsi="Calibri" w:cs="Calibri"/>
          <w:b/>
          <w:bCs/>
        </w:rPr>
        <w:t xml:space="preserve"> divergent</w:t>
      </w:r>
      <w:r w:rsidR="00C50D49" w:rsidRPr="00391CF1">
        <w:rPr>
          <w:rFonts w:ascii="Calibri" w:hAnsi="Calibri" w:cs="Calibri"/>
          <w:b/>
          <w:bCs/>
        </w:rPr>
        <w:t>e</w:t>
      </w:r>
      <w:r w:rsidRPr="00391CF1">
        <w:rPr>
          <w:rFonts w:ascii="Calibri" w:hAnsi="Calibri" w:cs="Calibri"/>
        </w:rPr>
        <w:t xml:space="preserve">. Ciò è stato </w:t>
      </w:r>
      <w:r w:rsidR="009D3276" w:rsidRPr="00391CF1">
        <w:rPr>
          <w:rFonts w:ascii="Calibri" w:hAnsi="Calibri" w:cs="Calibri"/>
        </w:rPr>
        <w:t>guidato</w:t>
      </w:r>
      <w:r w:rsidRPr="00391CF1">
        <w:rPr>
          <w:rFonts w:ascii="Calibri" w:hAnsi="Calibri" w:cs="Calibri"/>
        </w:rPr>
        <w:t xml:space="preserve"> principalmente dalle società più grandi, le cosiddette </w:t>
      </w:r>
      <w:r w:rsidR="009D3276" w:rsidRPr="00391CF1">
        <w:rPr>
          <w:rFonts w:ascii="Calibri" w:hAnsi="Calibri" w:cs="Calibri"/>
        </w:rPr>
        <w:t>‘M</w:t>
      </w:r>
      <w:r w:rsidRPr="00391CF1">
        <w:rPr>
          <w:rFonts w:ascii="Calibri" w:hAnsi="Calibri" w:cs="Calibri"/>
        </w:rPr>
        <w:t xml:space="preserve">agnifiche </w:t>
      </w:r>
      <w:r w:rsidR="009D3276" w:rsidRPr="00391CF1">
        <w:rPr>
          <w:rFonts w:ascii="Calibri" w:hAnsi="Calibri" w:cs="Calibri"/>
        </w:rPr>
        <w:t>7’</w:t>
      </w:r>
      <w:r w:rsidRPr="00391CF1">
        <w:rPr>
          <w:rFonts w:ascii="Calibri" w:hAnsi="Calibri" w:cs="Calibri"/>
        </w:rPr>
        <w:t>, ma riflette anche i rischi associati all</w:t>
      </w:r>
      <w:r w:rsidR="009D3276" w:rsidRPr="00391CF1">
        <w:rPr>
          <w:rFonts w:ascii="Calibri" w:hAnsi="Calibri" w:cs="Calibri"/>
        </w:rPr>
        <w:t xml:space="preserve">e </w:t>
      </w:r>
      <w:r w:rsidRPr="00391CF1">
        <w:rPr>
          <w:rFonts w:ascii="Calibri" w:hAnsi="Calibri" w:cs="Calibri"/>
        </w:rPr>
        <w:t>società più piccole, che sono più sensibili al ciclo economico.</w:t>
      </w:r>
    </w:p>
    <w:p w14:paraId="5AFCCDDD" w14:textId="77777777" w:rsidR="00391CF1" w:rsidRPr="00391CF1" w:rsidRDefault="00391CF1" w:rsidP="00391CF1">
      <w:pPr>
        <w:spacing w:after="0" w:line="240" w:lineRule="auto"/>
        <w:contextualSpacing/>
        <w:rPr>
          <w:rFonts w:ascii="Calibri" w:hAnsi="Calibri" w:cs="Calibri"/>
        </w:rPr>
      </w:pPr>
    </w:p>
    <w:p w14:paraId="22D0B453" w14:textId="02432FBF" w:rsidR="005F6F37" w:rsidRPr="00391CF1" w:rsidRDefault="009D3276" w:rsidP="00391CF1">
      <w:pPr>
        <w:spacing w:after="0" w:line="240" w:lineRule="auto"/>
        <w:contextualSpacing/>
        <w:rPr>
          <w:rFonts w:ascii="Calibri" w:hAnsi="Calibri" w:cs="Calibri"/>
          <w:b/>
          <w:bCs/>
          <w:sz w:val="20"/>
          <w:szCs w:val="20"/>
        </w:rPr>
      </w:pPr>
      <w:r w:rsidRPr="00391CF1">
        <w:rPr>
          <w:rFonts w:ascii="Calibri" w:hAnsi="Calibri" w:cs="Calibri"/>
          <w:b/>
          <w:bCs/>
          <w:sz w:val="20"/>
          <w:szCs w:val="20"/>
        </w:rPr>
        <w:t xml:space="preserve">Figura 1: </w:t>
      </w:r>
      <w:r w:rsidR="00644A3A" w:rsidRPr="00391CF1">
        <w:rPr>
          <w:rFonts w:ascii="Calibri" w:hAnsi="Calibri" w:cs="Calibri"/>
          <w:b/>
          <w:bCs/>
          <w:sz w:val="20"/>
          <w:szCs w:val="20"/>
        </w:rPr>
        <w:t>Rendimento cumulativo a 1 anno per le grandi imprese globali rispetto a quelle piccole (in USD)</w:t>
      </w:r>
    </w:p>
    <w:p w14:paraId="6675F508" w14:textId="77777777" w:rsidR="00391CF1" w:rsidRPr="00391CF1" w:rsidRDefault="00391CF1" w:rsidP="00391CF1">
      <w:pPr>
        <w:spacing w:after="0" w:line="240" w:lineRule="auto"/>
        <w:contextualSpacing/>
        <w:rPr>
          <w:rFonts w:ascii="Calibri" w:hAnsi="Calibri" w:cs="Calibri"/>
          <w:b/>
          <w:bCs/>
        </w:rPr>
      </w:pPr>
    </w:p>
    <w:p w14:paraId="3DB0A4C1" w14:textId="5ABFD42F" w:rsidR="005F6F37" w:rsidRPr="00391CF1" w:rsidRDefault="009D3276" w:rsidP="00391CF1">
      <w:pPr>
        <w:spacing w:after="0" w:line="240" w:lineRule="auto"/>
        <w:contextualSpacing/>
        <w:jc w:val="center"/>
        <w:rPr>
          <w:rFonts w:ascii="Calibri" w:hAnsi="Calibri" w:cs="Calibri"/>
        </w:rPr>
      </w:pPr>
      <w:r w:rsidRPr="00391CF1">
        <w:rPr>
          <w:rFonts w:ascii="Calibri" w:hAnsi="Calibri" w:cs="Calibri"/>
          <w:noProof/>
        </w:rPr>
        <w:drawing>
          <wp:inline distT="0" distB="0" distL="0" distR="0" wp14:anchorId="2AE867EA" wp14:editId="7EFA1335">
            <wp:extent cx="4873495" cy="1998133"/>
            <wp:effectExtent l="0" t="0" r="3810" b="2540"/>
            <wp:docPr id="179330385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5632" cy="19990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B20488" w14:textId="77777777" w:rsidR="00391CF1" w:rsidRDefault="00391CF1" w:rsidP="00391CF1">
      <w:pPr>
        <w:spacing w:after="0" w:line="240" w:lineRule="auto"/>
        <w:contextualSpacing/>
        <w:rPr>
          <w:rFonts w:ascii="Calibri" w:hAnsi="Calibri" w:cs="Calibri"/>
          <w:b/>
          <w:bCs/>
        </w:rPr>
      </w:pPr>
    </w:p>
    <w:p w14:paraId="6CD73CB1" w14:textId="2F728701" w:rsidR="006904E9" w:rsidRDefault="009D3276" w:rsidP="00391CF1">
      <w:pPr>
        <w:spacing w:after="0" w:line="240" w:lineRule="auto"/>
        <w:contextualSpacing/>
        <w:rPr>
          <w:rFonts w:ascii="Calibri" w:hAnsi="Calibri" w:cs="Calibri"/>
        </w:rPr>
      </w:pPr>
      <w:r w:rsidRPr="00391CF1">
        <w:rPr>
          <w:rFonts w:ascii="Calibri" w:hAnsi="Calibri" w:cs="Calibri"/>
          <w:b/>
          <w:bCs/>
        </w:rPr>
        <w:t>Ci sono</w:t>
      </w:r>
      <w:r w:rsidR="006904E9" w:rsidRPr="00391CF1">
        <w:rPr>
          <w:rFonts w:ascii="Calibri" w:hAnsi="Calibri" w:cs="Calibri"/>
          <w:b/>
          <w:bCs/>
        </w:rPr>
        <w:t xml:space="preserve"> alcuni motivi per cui gli investitori po</w:t>
      </w:r>
      <w:r w:rsidR="004A5F77" w:rsidRPr="00391CF1">
        <w:rPr>
          <w:rFonts w:ascii="Calibri" w:hAnsi="Calibri" w:cs="Calibri"/>
          <w:b/>
          <w:bCs/>
        </w:rPr>
        <w:t>trebbero</w:t>
      </w:r>
      <w:r w:rsidR="006904E9" w:rsidRPr="00391CF1">
        <w:rPr>
          <w:rFonts w:ascii="Calibri" w:hAnsi="Calibri" w:cs="Calibri"/>
          <w:b/>
          <w:bCs/>
        </w:rPr>
        <w:t xml:space="preserve"> preferire le società più grandi nella fase finale di un ciclo d</w:t>
      </w:r>
      <w:r w:rsidR="000368E7" w:rsidRPr="00391CF1">
        <w:rPr>
          <w:rFonts w:ascii="Calibri" w:hAnsi="Calibri" w:cs="Calibri"/>
          <w:b/>
          <w:bCs/>
        </w:rPr>
        <w:t>’</w:t>
      </w:r>
      <w:r w:rsidR="006904E9" w:rsidRPr="00391CF1">
        <w:rPr>
          <w:rFonts w:ascii="Calibri" w:hAnsi="Calibri" w:cs="Calibri"/>
          <w:b/>
          <w:bCs/>
        </w:rPr>
        <w:t>investimento</w:t>
      </w:r>
      <w:r w:rsidR="006904E9" w:rsidRPr="00391CF1">
        <w:rPr>
          <w:rFonts w:ascii="Calibri" w:hAnsi="Calibri" w:cs="Calibri"/>
        </w:rPr>
        <w:t xml:space="preserve">.  Le società </w:t>
      </w:r>
      <w:r w:rsidR="000368E7" w:rsidRPr="00391CF1">
        <w:rPr>
          <w:rFonts w:ascii="Calibri" w:hAnsi="Calibri" w:cs="Calibri"/>
        </w:rPr>
        <w:t>di dimensioni maggiori</w:t>
      </w:r>
      <w:r w:rsidR="004A5F77" w:rsidRPr="00391CF1">
        <w:rPr>
          <w:rFonts w:ascii="Calibri" w:hAnsi="Calibri" w:cs="Calibri"/>
        </w:rPr>
        <w:t xml:space="preserve"> </w:t>
      </w:r>
      <w:r w:rsidR="000368E7" w:rsidRPr="00391CF1">
        <w:rPr>
          <w:rFonts w:ascii="Calibri" w:hAnsi="Calibri" w:cs="Calibri"/>
        </w:rPr>
        <w:t>dispongono,</w:t>
      </w:r>
      <w:r w:rsidR="006904E9" w:rsidRPr="00391CF1">
        <w:rPr>
          <w:rFonts w:ascii="Calibri" w:hAnsi="Calibri" w:cs="Calibri"/>
        </w:rPr>
        <w:t xml:space="preserve"> in genere</w:t>
      </w:r>
      <w:r w:rsidR="000368E7" w:rsidRPr="00391CF1">
        <w:rPr>
          <w:rFonts w:ascii="Calibri" w:hAnsi="Calibri" w:cs="Calibri"/>
        </w:rPr>
        <w:t>, di</w:t>
      </w:r>
      <w:r w:rsidR="006904E9" w:rsidRPr="00391CF1">
        <w:rPr>
          <w:rFonts w:ascii="Calibri" w:hAnsi="Calibri" w:cs="Calibri"/>
        </w:rPr>
        <w:t xml:space="preserve"> </w:t>
      </w:r>
      <w:r w:rsidR="004A5F77" w:rsidRPr="00391CF1">
        <w:rPr>
          <w:rFonts w:ascii="Calibri" w:hAnsi="Calibri" w:cs="Calibri"/>
        </w:rPr>
        <w:t>diversi</w:t>
      </w:r>
      <w:r w:rsidR="006904E9" w:rsidRPr="00391CF1">
        <w:rPr>
          <w:rFonts w:ascii="Calibri" w:hAnsi="Calibri" w:cs="Calibri"/>
        </w:rPr>
        <w:t xml:space="preserve"> analisti di ricerca</w:t>
      </w:r>
      <w:r w:rsidR="000368E7" w:rsidRPr="00391CF1">
        <w:rPr>
          <w:rFonts w:ascii="Calibri" w:hAnsi="Calibri" w:cs="Calibri"/>
        </w:rPr>
        <w:t>,</w:t>
      </w:r>
      <w:r w:rsidR="006904E9" w:rsidRPr="00391CF1">
        <w:rPr>
          <w:rFonts w:ascii="Calibri" w:hAnsi="Calibri" w:cs="Calibri"/>
        </w:rPr>
        <w:t xml:space="preserve"> che</w:t>
      </w:r>
      <w:r w:rsidR="000368E7" w:rsidRPr="00391CF1">
        <w:rPr>
          <w:rFonts w:ascii="Calibri" w:hAnsi="Calibri" w:cs="Calibri"/>
        </w:rPr>
        <w:t xml:space="preserve"> ne</w:t>
      </w:r>
      <w:r w:rsidR="006904E9" w:rsidRPr="00391CF1">
        <w:rPr>
          <w:rFonts w:ascii="Calibri" w:hAnsi="Calibri" w:cs="Calibri"/>
        </w:rPr>
        <w:t xml:space="preserve"> interpretano l</w:t>
      </w:r>
      <w:r w:rsidR="000368E7" w:rsidRPr="00391CF1">
        <w:rPr>
          <w:rFonts w:ascii="Calibri" w:hAnsi="Calibri" w:cs="Calibri"/>
        </w:rPr>
        <w:t>a</w:t>
      </w:r>
      <w:r w:rsidR="006904E9" w:rsidRPr="00391CF1">
        <w:rPr>
          <w:rFonts w:ascii="Calibri" w:hAnsi="Calibri" w:cs="Calibri"/>
        </w:rPr>
        <w:t xml:space="preserve"> performance </w:t>
      </w:r>
      <w:r w:rsidR="000368E7" w:rsidRPr="00391CF1">
        <w:rPr>
          <w:rFonts w:ascii="Calibri" w:hAnsi="Calibri" w:cs="Calibri"/>
        </w:rPr>
        <w:t>(</w:t>
      </w:r>
      <w:r w:rsidR="006904E9" w:rsidRPr="00391CF1">
        <w:rPr>
          <w:rFonts w:ascii="Calibri" w:hAnsi="Calibri" w:cs="Calibri"/>
        </w:rPr>
        <w:t>il che riduce l'incertezza</w:t>
      </w:r>
      <w:r w:rsidR="000368E7" w:rsidRPr="00391CF1">
        <w:rPr>
          <w:rFonts w:ascii="Calibri" w:hAnsi="Calibri" w:cs="Calibri"/>
        </w:rPr>
        <w:t>)</w:t>
      </w:r>
      <w:r w:rsidR="006904E9" w:rsidRPr="00391CF1">
        <w:rPr>
          <w:rFonts w:ascii="Calibri" w:hAnsi="Calibri" w:cs="Calibri"/>
        </w:rPr>
        <w:t xml:space="preserve">, </w:t>
      </w:r>
      <w:r w:rsidR="000368E7" w:rsidRPr="00391CF1">
        <w:rPr>
          <w:rFonts w:ascii="Calibri" w:hAnsi="Calibri" w:cs="Calibri"/>
        </w:rPr>
        <w:t>godono di</w:t>
      </w:r>
      <w:r w:rsidR="006904E9" w:rsidRPr="00391CF1">
        <w:rPr>
          <w:rFonts w:ascii="Calibri" w:hAnsi="Calibri" w:cs="Calibri"/>
        </w:rPr>
        <w:t xml:space="preserve"> un accesso più facile ai finanziamenti nei momenti di necessità e </w:t>
      </w:r>
      <w:r w:rsidRPr="00391CF1">
        <w:rPr>
          <w:rFonts w:ascii="Calibri" w:hAnsi="Calibri" w:cs="Calibri"/>
        </w:rPr>
        <w:t>offrono</w:t>
      </w:r>
      <w:r w:rsidR="006904E9" w:rsidRPr="00391CF1">
        <w:rPr>
          <w:rFonts w:ascii="Calibri" w:hAnsi="Calibri" w:cs="Calibri"/>
        </w:rPr>
        <w:t xml:space="preserve"> più prodotti diversificati, il che contribuisce a stabilizzare i </w:t>
      </w:r>
      <w:r w:rsidR="000368E7" w:rsidRPr="00391CF1">
        <w:rPr>
          <w:rFonts w:ascii="Calibri" w:hAnsi="Calibri" w:cs="Calibri"/>
        </w:rPr>
        <w:t>rispettivi</w:t>
      </w:r>
      <w:r w:rsidR="006904E9" w:rsidRPr="00391CF1">
        <w:rPr>
          <w:rFonts w:ascii="Calibri" w:hAnsi="Calibri" w:cs="Calibri"/>
        </w:rPr>
        <w:t xml:space="preserve"> flussi di cassa. Tutto </w:t>
      </w:r>
      <w:r w:rsidR="000368E7" w:rsidRPr="00391CF1">
        <w:rPr>
          <w:rFonts w:ascii="Calibri" w:hAnsi="Calibri" w:cs="Calibri"/>
        </w:rPr>
        <w:t>questo</w:t>
      </w:r>
      <w:r w:rsidR="006904E9" w:rsidRPr="00391CF1">
        <w:rPr>
          <w:rFonts w:ascii="Calibri" w:hAnsi="Calibri" w:cs="Calibri"/>
        </w:rPr>
        <w:t xml:space="preserve"> rende le società più grandi interessant</w:t>
      </w:r>
      <w:r w:rsidRPr="00391CF1">
        <w:rPr>
          <w:rFonts w:ascii="Calibri" w:hAnsi="Calibri" w:cs="Calibri"/>
        </w:rPr>
        <w:t>i</w:t>
      </w:r>
      <w:r w:rsidR="006904E9" w:rsidRPr="00391CF1">
        <w:rPr>
          <w:rFonts w:ascii="Calibri" w:hAnsi="Calibri" w:cs="Calibri"/>
        </w:rPr>
        <w:t xml:space="preserve"> in caso di rallentamento dell'economia. </w:t>
      </w:r>
      <w:r w:rsidRPr="00391CF1">
        <w:rPr>
          <w:rFonts w:ascii="Calibri" w:hAnsi="Calibri" w:cs="Calibri"/>
          <w:b/>
          <w:bCs/>
        </w:rPr>
        <w:t>Tuttavia, l</w:t>
      </w:r>
      <w:r w:rsidR="006904E9" w:rsidRPr="00391CF1">
        <w:rPr>
          <w:rFonts w:ascii="Calibri" w:hAnsi="Calibri" w:cs="Calibri"/>
          <w:b/>
          <w:bCs/>
        </w:rPr>
        <w:t xml:space="preserve">a domanda chiave è se i titoli delle small </w:t>
      </w:r>
      <w:proofErr w:type="spellStart"/>
      <w:r w:rsidR="006904E9" w:rsidRPr="00391CF1">
        <w:rPr>
          <w:rFonts w:ascii="Calibri" w:hAnsi="Calibri" w:cs="Calibri"/>
          <w:b/>
          <w:bCs/>
        </w:rPr>
        <w:t>cap</w:t>
      </w:r>
      <w:proofErr w:type="spellEnd"/>
      <w:r w:rsidR="006904E9" w:rsidRPr="00391CF1">
        <w:rPr>
          <w:rFonts w:ascii="Calibri" w:hAnsi="Calibri" w:cs="Calibri"/>
          <w:b/>
          <w:bCs/>
        </w:rPr>
        <w:t xml:space="preserve"> </w:t>
      </w:r>
      <w:r w:rsidR="002B0DDE" w:rsidRPr="00391CF1">
        <w:rPr>
          <w:rFonts w:ascii="Calibri" w:hAnsi="Calibri" w:cs="Calibri"/>
          <w:b/>
          <w:bCs/>
        </w:rPr>
        <w:t xml:space="preserve">scontino </w:t>
      </w:r>
      <w:r w:rsidR="006904E9" w:rsidRPr="00391CF1">
        <w:rPr>
          <w:rFonts w:ascii="Calibri" w:hAnsi="Calibri" w:cs="Calibri"/>
          <w:b/>
          <w:bCs/>
        </w:rPr>
        <w:t>abbastanza "aspettative negative" nei loro prezzi</w:t>
      </w:r>
      <w:r w:rsidR="006904E9" w:rsidRPr="00391CF1">
        <w:rPr>
          <w:rFonts w:ascii="Calibri" w:hAnsi="Calibri" w:cs="Calibri"/>
        </w:rPr>
        <w:t>.</w:t>
      </w:r>
    </w:p>
    <w:p w14:paraId="2C35EC6F" w14:textId="77777777" w:rsidR="00391CF1" w:rsidRPr="00391CF1" w:rsidRDefault="00391CF1" w:rsidP="00391CF1">
      <w:pPr>
        <w:spacing w:after="0" w:line="240" w:lineRule="auto"/>
        <w:contextualSpacing/>
        <w:rPr>
          <w:rFonts w:ascii="Calibri" w:hAnsi="Calibri" w:cs="Calibri"/>
        </w:rPr>
      </w:pPr>
    </w:p>
    <w:p w14:paraId="392345DA" w14:textId="459E2084" w:rsidR="005F6F37" w:rsidRPr="00391CF1" w:rsidRDefault="006C2BD7" w:rsidP="00391CF1">
      <w:pPr>
        <w:spacing w:after="0" w:line="240" w:lineRule="auto"/>
        <w:contextualSpacing/>
        <w:rPr>
          <w:rFonts w:ascii="Calibri" w:hAnsi="Calibri" w:cs="Calibri"/>
          <w:u w:val="single"/>
        </w:rPr>
      </w:pPr>
      <w:r w:rsidRPr="00391CF1">
        <w:rPr>
          <w:rFonts w:ascii="Calibri" w:hAnsi="Calibri" w:cs="Calibri"/>
          <w:u w:val="single"/>
        </w:rPr>
        <w:t xml:space="preserve">Cosa </w:t>
      </w:r>
      <w:r w:rsidR="009D3276" w:rsidRPr="00391CF1">
        <w:rPr>
          <w:rFonts w:ascii="Calibri" w:hAnsi="Calibri" w:cs="Calibri"/>
          <w:u w:val="single"/>
        </w:rPr>
        <w:t>mostrano i dati sul</w:t>
      </w:r>
      <w:r w:rsidRPr="00391CF1">
        <w:rPr>
          <w:rFonts w:ascii="Calibri" w:hAnsi="Calibri" w:cs="Calibri"/>
          <w:u w:val="single"/>
        </w:rPr>
        <w:t xml:space="preserve"> lungo termine </w:t>
      </w:r>
    </w:p>
    <w:p w14:paraId="2877E4ED" w14:textId="46091CC0" w:rsidR="005B4AF6" w:rsidRPr="00391CF1" w:rsidRDefault="005B4AF6" w:rsidP="00391CF1">
      <w:pPr>
        <w:spacing w:after="0" w:line="240" w:lineRule="auto"/>
        <w:contextualSpacing/>
        <w:rPr>
          <w:rFonts w:ascii="Calibri" w:hAnsi="Calibri" w:cs="Calibri"/>
          <w:b/>
          <w:bCs/>
        </w:rPr>
      </w:pPr>
      <w:r w:rsidRPr="00391CF1">
        <w:rPr>
          <w:rFonts w:ascii="Calibri" w:hAnsi="Calibri" w:cs="Calibri"/>
        </w:rPr>
        <w:t xml:space="preserve">Per scoprirlo abbiamo analizzato i dati a partire dal 1980. Abbiamo studiato il comportamento dei prezzi delle azioni a grande e piccola capitalizzazione in ogni fase del ciclo </w:t>
      </w:r>
      <w:r w:rsidR="00064AF1" w:rsidRPr="00391CF1">
        <w:rPr>
          <w:rFonts w:ascii="Calibri" w:hAnsi="Calibri" w:cs="Calibri"/>
        </w:rPr>
        <w:t>d’</w:t>
      </w:r>
      <w:r w:rsidRPr="00391CF1">
        <w:rPr>
          <w:rFonts w:ascii="Calibri" w:hAnsi="Calibri" w:cs="Calibri"/>
        </w:rPr>
        <w:t xml:space="preserve">investimento. </w:t>
      </w:r>
      <w:r w:rsidR="009D3276" w:rsidRPr="00391CF1">
        <w:rPr>
          <w:rFonts w:ascii="Calibri" w:hAnsi="Calibri" w:cs="Calibri"/>
          <w:b/>
          <w:bCs/>
        </w:rPr>
        <w:t>I dati</w:t>
      </w:r>
      <w:r w:rsidRPr="00391CF1">
        <w:rPr>
          <w:rFonts w:ascii="Calibri" w:hAnsi="Calibri" w:cs="Calibri"/>
          <w:b/>
          <w:bCs/>
        </w:rPr>
        <w:t xml:space="preserve"> mostra</w:t>
      </w:r>
      <w:r w:rsidR="009D3276" w:rsidRPr="00391CF1">
        <w:rPr>
          <w:rFonts w:ascii="Calibri" w:hAnsi="Calibri" w:cs="Calibri"/>
          <w:b/>
          <w:bCs/>
        </w:rPr>
        <w:t>no</w:t>
      </w:r>
      <w:r w:rsidRPr="00391CF1">
        <w:rPr>
          <w:rFonts w:ascii="Calibri" w:hAnsi="Calibri" w:cs="Calibri"/>
          <w:b/>
          <w:bCs/>
        </w:rPr>
        <w:t xml:space="preserve"> che investire </w:t>
      </w:r>
      <w:r w:rsidR="008B2C7E" w:rsidRPr="00391CF1">
        <w:rPr>
          <w:rFonts w:ascii="Calibri" w:hAnsi="Calibri" w:cs="Calibri"/>
          <w:b/>
          <w:bCs/>
        </w:rPr>
        <w:t>nelle</w:t>
      </w:r>
      <w:r w:rsidRPr="00391CF1">
        <w:rPr>
          <w:rFonts w:ascii="Calibri" w:hAnsi="Calibri" w:cs="Calibri"/>
          <w:b/>
          <w:bCs/>
        </w:rPr>
        <w:t xml:space="preserve"> small </w:t>
      </w:r>
      <w:proofErr w:type="spellStart"/>
      <w:r w:rsidRPr="00391CF1">
        <w:rPr>
          <w:rFonts w:ascii="Calibri" w:hAnsi="Calibri" w:cs="Calibri"/>
          <w:b/>
          <w:bCs/>
        </w:rPr>
        <w:t>cap</w:t>
      </w:r>
      <w:proofErr w:type="spellEnd"/>
      <w:r w:rsidRPr="00391CF1">
        <w:rPr>
          <w:rFonts w:ascii="Calibri" w:hAnsi="Calibri" w:cs="Calibri"/>
          <w:b/>
          <w:bCs/>
        </w:rPr>
        <w:t xml:space="preserve"> quando </w:t>
      </w:r>
      <w:r w:rsidR="009D3276" w:rsidRPr="00391CF1">
        <w:rPr>
          <w:rFonts w:ascii="Calibri" w:hAnsi="Calibri" w:cs="Calibri"/>
          <w:b/>
          <w:bCs/>
        </w:rPr>
        <w:t>il contesto</w:t>
      </w:r>
      <w:r w:rsidRPr="00391CF1">
        <w:rPr>
          <w:rFonts w:ascii="Calibri" w:hAnsi="Calibri" w:cs="Calibri"/>
          <w:b/>
          <w:bCs/>
        </w:rPr>
        <w:t xml:space="preserve"> non è favorevole ha generato buoni risultati, </w:t>
      </w:r>
      <w:r w:rsidR="00D01AC6" w:rsidRPr="00391CF1">
        <w:rPr>
          <w:rFonts w:ascii="Calibri" w:hAnsi="Calibri" w:cs="Calibri"/>
          <w:b/>
          <w:bCs/>
        </w:rPr>
        <w:t>con</w:t>
      </w:r>
      <w:r w:rsidRPr="00391CF1">
        <w:rPr>
          <w:rFonts w:ascii="Calibri" w:hAnsi="Calibri" w:cs="Calibri"/>
          <w:b/>
          <w:bCs/>
        </w:rPr>
        <w:t xml:space="preserve"> un approccio a lungo termine.</w:t>
      </w:r>
    </w:p>
    <w:p w14:paraId="65BB87F4" w14:textId="0B205CE1" w:rsidR="005F6F37" w:rsidRPr="00391CF1" w:rsidRDefault="00D01AC6" w:rsidP="00391CF1">
      <w:pPr>
        <w:spacing w:after="0" w:line="240" w:lineRule="auto"/>
        <w:contextualSpacing/>
        <w:rPr>
          <w:rFonts w:ascii="Calibri" w:hAnsi="Calibri" w:cs="Calibri"/>
        </w:rPr>
      </w:pPr>
      <w:r w:rsidRPr="00391CF1">
        <w:rPr>
          <w:rFonts w:ascii="Calibri" w:hAnsi="Calibri" w:cs="Calibri"/>
          <w:noProof/>
        </w:rPr>
        <w:lastRenderedPageBreak/>
        <w:drawing>
          <wp:inline distT="0" distB="0" distL="0" distR="0" wp14:anchorId="5B28B9DA" wp14:editId="73354178">
            <wp:extent cx="3766185" cy="1092345"/>
            <wp:effectExtent l="0" t="0" r="5715" b="0"/>
            <wp:docPr id="2004198468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161" cy="10961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5B915A" w14:textId="57601FF0" w:rsidR="005F6F37" w:rsidRPr="00391CF1" w:rsidRDefault="002F7105" w:rsidP="00391CF1">
      <w:pPr>
        <w:spacing w:after="0" w:line="240" w:lineRule="auto"/>
        <w:contextualSpacing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391CF1">
        <w:rPr>
          <w:rFonts w:ascii="Calibri" w:hAnsi="Calibri" w:cs="Calibri"/>
          <w:i/>
          <w:iCs/>
          <w:sz w:val="20"/>
          <w:szCs w:val="20"/>
        </w:rPr>
        <w:t>Fonte</w:t>
      </w:r>
      <w:r w:rsidR="005F6F37" w:rsidRPr="00391CF1">
        <w:rPr>
          <w:rFonts w:ascii="Calibri" w:hAnsi="Calibri" w:cs="Calibri"/>
          <w:i/>
          <w:iCs/>
          <w:sz w:val="20"/>
          <w:szCs w:val="20"/>
        </w:rPr>
        <w:t>: Schroders</w:t>
      </w:r>
      <w:r w:rsidR="00D01AC6" w:rsidRPr="00391CF1">
        <w:rPr>
          <w:rFonts w:ascii="Calibri" w:hAnsi="Calibri" w:cs="Calibri"/>
          <w:i/>
          <w:iCs/>
          <w:sz w:val="20"/>
          <w:szCs w:val="20"/>
        </w:rPr>
        <w:t xml:space="preserve">, dati a ottobre </w:t>
      </w:r>
      <w:r w:rsidR="005F6F37" w:rsidRPr="00391CF1">
        <w:rPr>
          <w:rFonts w:ascii="Calibri" w:hAnsi="Calibri" w:cs="Calibri"/>
          <w:i/>
          <w:iCs/>
          <w:sz w:val="20"/>
          <w:szCs w:val="20"/>
        </w:rPr>
        <w:t xml:space="preserve">2023. </w:t>
      </w:r>
    </w:p>
    <w:p w14:paraId="6DC6804F" w14:textId="77777777" w:rsidR="00391CF1" w:rsidRDefault="00391CF1" w:rsidP="00391CF1">
      <w:pPr>
        <w:spacing w:after="0" w:line="240" w:lineRule="auto"/>
        <w:contextualSpacing/>
        <w:rPr>
          <w:rFonts w:ascii="Calibri" w:hAnsi="Calibri" w:cs="Calibri"/>
          <w:b/>
          <w:bCs/>
        </w:rPr>
      </w:pPr>
    </w:p>
    <w:p w14:paraId="218782DD" w14:textId="2BBC3192" w:rsidR="0076116A" w:rsidRDefault="0076116A" w:rsidP="00391CF1">
      <w:pPr>
        <w:spacing w:after="0" w:line="240" w:lineRule="auto"/>
        <w:contextualSpacing/>
        <w:rPr>
          <w:rFonts w:ascii="Calibri" w:hAnsi="Calibri" w:cs="Calibri"/>
        </w:rPr>
      </w:pPr>
      <w:r w:rsidRPr="00391CF1">
        <w:rPr>
          <w:rFonts w:ascii="Calibri" w:hAnsi="Calibri" w:cs="Calibri"/>
          <w:b/>
          <w:bCs/>
        </w:rPr>
        <w:t xml:space="preserve">Mentre </w:t>
      </w:r>
      <w:r w:rsidR="008B2C7E" w:rsidRPr="00391CF1">
        <w:rPr>
          <w:rFonts w:ascii="Calibri" w:hAnsi="Calibri" w:cs="Calibri"/>
          <w:b/>
          <w:bCs/>
        </w:rPr>
        <w:t xml:space="preserve">nelle fasi di espansione e di rallentamento </w:t>
      </w:r>
      <w:r w:rsidRPr="00391CF1">
        <w:rPr>
          <w:rFonts w:ascii="Calibri" w:hAnsi="Calibri" w:cs="Calibri"/>
          <w:b/>
          <w:bCs/>
        </w:rPr>
        <w:t xml:space="preserve">i rendimenti medi dei titoli delle small </w:t>
      </w:r>
      <w:proofErr w:type="spellStart"/>
      <w:r w:rsidRPr="00391CF1">
        <w:rPr>
          <w:rFonts w:ascii="Calibri" w:hAnsi="Calibri" w:cs="Calibri"/>
          <w:b/>
          <w:bCs/>
        </w:rPr>
        <w:t>cap</w:t>
      </w:r>
      <w:proofErr w:type="spellEnd"/>
      <w:r w:rsidRPr="00391CF1">
        <w:rPr>
          <w:rFonts w:ascii="Calibri" w:hAnsi="Calibri" w:cs="Calibri"/>
          <w:b/>
          <w:bCs/>
        </w:rPr>
        <w:t xml:space="preserve"> e delle large </w:t>
      </w:r>
      <w:proofErr w:type="spellStart"/>
      <w:r w:rsidRPr="00391CF1">
        <w:rPr>
          <w:rFonts w:ascii="Calibri" w:hAnsi="Calibri" w:cs="Calibri"/>
          <w:b/>
          <w:bCs/>
        </w:rPr>
        <w:t>cap</w:t>
      </w:r>
      <w:proofErr w:type="spellEnd"/>
      <w:r w:rsidR="008B2C7E" w:rsidRPr="00391CF1">
        <w:rPr>
          <w:rFonts w:ascii="Calibri" w:hAnsi="Calibri" w:cs="Calibri"/>
          <w:b/>
          <w:bCs/>
        </w:rPr>
        <w:t xml:space="preserve"> </w:t>
      </w:r>
      <w:r w:rsidRPr="00391CF1">
        <w:rPr>
          <w:rFonts w:ascii="Calibri" w:hAnsi="Calibri" w:cs="Calibri"/>
          <w:b/>
          <w:bCs/>
        </w:rPr>
        <w:t xml:space="preserve">sono stati simili, </w:t>
      </w:r>
      <w:r w:rsidR="008B2C7E" w:rsidRPr="00391CF1">
        <w:rPr>
          <w:rFonts w:ascii="Calibri" w:hAnsi="Calibri" w:cs="Calibri"/>
          <w:b/>
          <w:bCs/>
        </w:rPr>
        <w:t>le</w:t>
      </w:r>
      <w:r w:rsidRPr="00391CF1">
        <w:rPr>
          <w:rFonts w:ascii="Calibri" w:hAnsi="Calibri" w:cs="Calibri"/>
          <w:b/>
          <w:bCs/>
        </w:rPr>
        <w:t xml:space="preserve"> small </w:t>
      </w:r>
      <w:proofErr w:type="spellStart"/>
      <w:r w:rsidRPr="00391CF1">
        <w:rPr>
          <w:rFonts w:ascii="Calibri" w:hAnsi="Calibri" w:cs="Calibri"/>
          <w:b/>
          <w:bCs/>
        </w:rPr>
        <w:t>cap</w:t>
      </w:r>
      <w:proofErr w:type="spellEnd"/>
      <w:r w:rsidRPr="00391CF1">
        <w:rPr>
          <w:rFonts w:ascii="Calibri" w:hAnsi="Calibri" w:cs="Calibri"/>
          <w:b/>
          <w:bCs/>
        </w:rPr>
        <w:t xml:space="preserve"> hanno</w:t>
      </w:r>
      <w:r w:rsidR="005B07A2" w:rsidRPr="00391CF1">
        <w:rPr>
          <w:rFonts w:ascii="Calibri" w:hAnsi="Calibri" w:cs="Calibri"/>
          <w:b/>
          <w:bCs/>
        </w:rPr>
        <w:t xml:space="preserve"> mediamente </w:t>
      </w:r>
      <w:r w:rsidRPr="00391CF1">
        <w:rPr>
          <w:rFonts w:ascii="Calibri" w:hAnsi="Calibri" w:cs="Calibri"/>
          <w:b/>
          <w:bCs/>
        </w:rPr>
        <w:t>conseguito rendimenti</w:t>
      </w:r>
      <w:r w:rsidR="008B2C7E" w:rsidRPr="00391CF1">
        <w:rPr>
          <w:rFonts w:ascii="Calibri" w:hAnsi="Calibri" w:cs="Calibri"/>
          <w:b/>
          <w:bCs/>
        </w:rPr>
        <w:t xml:space="preserve"> più che doppi rispetto alle</w:t>
      </w:r>
      <w:r w:rsidRPr="00391CF1">
        <w:rPr>
          <w:rFonts w:ascii="Calibri" w:hAnsi="Calibri" w:cs="Calibri"/>
          <w:b/>
          <w:bCs/>
        </w:rPr>
        <w:t xml:space="preserve"> large </w:t>
      </w:r>
      <w:proofErr w:type="spellStart"/>
      <w:r w:rsidRPr="00391CF1">
        <w:rPr>
          <w:rFonts w:ascii="Calibri" w:hAnsi="Calibri" w:cs="Calibri"/>
          <w:b/>
          <w:bCs/>
        </w:rPr>
        <w:t>cap</w:t>
      </w:r>
      <w:proofErr w:type="spellEnd"/>
      <w:r w:rsidRPr="00391CF1">
        <w:rPr>
          <w:rFonts w:ascii="Calibri" w:hAnsi="Calibri" w:cs="Calibri"/>
          <w:b/>
          <w:bCs/>
        </w:rPr>
        <w:t xml:space="preserve"> sia nelle fasi di recessione che in quell</w:t>
      </w:r>
      <w:r w:rsidR="005B07A2" w:rsidRPr="00391CF1">
        <w:rPr>
          <w:rFonts w:ascii="Calibri" w:hAnsi="Calibri" w:cs="Calibri"/>
          <w:b/>
          <w:bCs/>
        </w:rPr>
        <w:t>e</w:t>
      </w:r>
      <w:r w:rsidRPr="00391CF1">
        <w:rPr>
          <w:rFonts w:ascii="Calibri" w:hAnsi="Calibri" w:cs="Calibri"/>
          <w:b/>
          <w:bCs/>
        </w:rPr>
        <w:t xml:space="preserve"> di ripresa</w:t>
      </w:r>
      <w:r w:rsidRPr="00391CF1">
        <w:rPr>
          <w:rFonts w:ascii="Calibri" w:hAnsi="Calibri" w:cs="Calibri"/>
        </w:rPr>
        <w:t xml:space="preserve">. Tuttavia, non esistono due cicli esattamente identici e il ciclo attuale potrebbe fornire indizi su ciò che </w:t>
      </w:r>
      <w:r w:rsidR="005B07A2" w:rsidRPr="00391CF1">
        <w:rPr>
          <w:rFonts w:ascii="Calibri" w:hAnsi="Calibri" w:cs="Calibri"/>
        </w:rPr>
        <w:t>ha in serbo</w:t>
      </w:r>
      <w:r w:rsidR="00BE03E3" w:rsidRPr="00391CF1">
        <w:rPr>
          <w:rFonts w:ascii="Calibri" w:hAnsi="Calibri" w:cs="Calibri"/>
        </w:rPr>
        <w:t xml:space="preserve"> per</w:t>
      </w:r>
      <w:r w:rsidRPr="00391CF1">
        <w:rPr>
          <w:rFonts w:ascii="Calibri" w:hAnsi="Calibri" w:cs="Calibri"/>
        </w:rPr>
        <w:t xml:space="preserve"> gli investitori.</w:t>
      </w:r>
    </w:p>
    <w:p w14:paraId="497B8C13" w14:textId="77777777" w:rsidR="00AE7A0A" w:rsidRPr="00391CF1" w:rsidRDefault="00AE7A0A" w:rsidP="00391CF1">
      <w:pPr>
        <w:spacing w:after="0" w:line="240" w:lineRule="auto"/>
        <w:contextualSpacing/>
        <w:rPr>
          <w:rFonts w:ascii="Calibri" w:hAnsi="Calibri" w:cs="Calibri"/>
        </w:rPr>
      </w:pPr>
    </w:p>
    <w:p w14:paraId="13814513" w14:textId="76951930" w:rsidR="005F6F37" w:rsidRPr="00391CF1" w:rsidRDefault="00BE03E3" w:rsidP="00391CF1">
      <w:pPr>
        <w:spacing w:after="0" w:line="240" w:lineRule="auto"/>
        <w:contextualSpacing/>
        <w:rPr>
          <w:rFonts w:ascii="Calibri" w:hAnsi="Calibri" w:cs="Calibri"/>
          <w:u w:val="single"/>
        </w:rPr>
      </w:pPr>
      <w:r w:rsidRPr="00391CF1">
        <w:rPr>
          <w:rFonts w:ascii="Calibri" w:hAnsi="Calibri" w:cs="Calibri"/>
          <w:u w:val="single"/>
        </w:rPr>
        <w:t>Posizionarsi</w:t>
      </w:r>
      <w:r w:rsidR="00DE1571" w:rsidRPr="00391CF1">
        <w:rPr>
          <w:rFonts w:ascii="Calibri" w:hAnsi="Calibri" w:cs="Calibri"/>
          <w:u w:val="single"/>
        </w:rPr>
        <w:t xml:space="preserve"> per la prossima fase </w:t>
      </w:r>
      <w:r w:rsidR="00802454" w:rsidRPr="00391CF1">
        <w:rPr>
          <w:rFonts w:ascii="Calibri" w:hAnsi="Calibri" w:cs="Calibri"/>
          <w:u w:val="single"/>
        </w:rPr>
        <w:t>d</w:t>
      </w:r>
      <w:r w:rsidR="00DE1571" w:rsidRPr="00391CF1">
        <w:rPr>
          <w:rFonts w:ascii="Calibri" w:hAnsi="Calibri" w:cs="Calibri"/>
          <w:u w:val="single"/>
        </w:rPr>
        <w:t xml:space="preserve">el ciclo economico </w:t>
      </w:r>
    </w:p>
    <w:p w14:paraId="30B6D273" w14:textId="2610C0E1" w:rsidR="00106638" w:rsidRDefault="00106638" w:rsidP="00391CF1">
      <w:pPr>
        <w:spacing w:after="0" w:line="240" w:lineRule="auto"/>
        <w:contextualSpacing/>
        <w:rPr>
          <w:rFonts w:ascii="Calibri" w:hAnsi="Calibri" w:cs="Calibri"/>
        </w:rPr>
      </w:pPr>
      <w:r w:rsidRPr="00391CF1">
        <w:rPr>
          <w:rFonts w:ascii="Calibri" w:hAnsi="Calibri" w:cs="Calibri"/>
        </w:rPr>
        <w:t xml:space="preserve">Sebbene sia sempre difficile </w:t>
      </w:r>
      <w:r w:rsidR="00BE03E3" w:rsidRPr="00391CF1">
        <w:rPr>
          <w:rFonts w:ascii="Calibri" w:hAnsi="Calibri" w:cs="Calibri"/>
        </w:rPr>
        <w:t>individuare</w:t>
      </w:r>
      <w:r w:rsidRPr="00391CF1">
        <w:rPr>
          <w:rFonts w:ascii="Calibri" w:hAnsi="Calibri" w:cs="Calibri"/>
        </w:rPr>
        <w:t xml:space="preserve"> con esattezza i punti di svolta di qualsiasi ciclo economico, </w:t>
      </w:r>
      <w:r w:rsidRPr="00391CF1">
        <w:rPr>
          <w:rFonts w:ascii="Calibri" w:hAnsi="Calibri" w:cs="Calibri"/>
          <w:b/>
          <w:bCs/>
        </w:rPr>
        <w:t xml:space="preserve">iniziamo a osservare alcune </w:t>
      </w:r>
      <w:r w:rsidR="00054212" w:rsidRPr="00391CF1">
        <w:rPr>
          <w:rFonts w:ascii="Calibri" w:hAnsi="Calibri" w:cs="Calibri"/>
          <w:b/>
          <w:bCs/>
        </w:rPr>
        <w:t>evidenze,</w:t>
      </w:r>
      <w:r w:rsidRPr="00391CF1">
        <w:rPr>
          <w:rFonts w:ascii="Calibri" w:hAnsi="Calibri" w:cs="Calibri"/>
          <w:b/>
          <w:bCs/>
        </w:rPr>
        <w:t xml:space="preserve"> </w:t>
      </w:r>
      <w:r w:rsidR="00054212" w:rsidRPr="00391CF1">
        <w:rPr>
          <w:rFonts w:ascii="Calibri" w:hAnsi="Calibri" w:cs="Calibri"/>
          <w:b/>
          <w:bCs/>
        </w:rPr>
        <w:t>secondo cui</w:t>
      </w:r>
      <w:r w:rsidRPr="00391CF1">
        <w:rPr>
          <w:rFonts w:ascii="Calibri" w:hAnsi="Calibri" w:cs="Calibri"/>
          <w:b/>
          <w:bCs/>
        </w:rPr>
        <w:t xml:space="preserve"> siamo più vicini a un punto di svolta rispetto al passato</w:t>
      </w:r>
      <w:r w:rsidRPr="00391CF1">
        <w:rPr>
          <w:rFonts w:ascii="Calibri" w:hAnsi="Calibri" w:cs="Calibri"/>
        </w:rPr>
        <w:t xml:space="preserve">. Il nostro studio dimostra che si tende a essere premiati se si guarda avanti, </w:t>
      </w:r>
      <w:r w:rsidR="00BE03E3" w:rsidRPr="00391CF1">
        <w:rPr>
          <w:rFonts w:ascii="Calibri" w:hAnsi="Calibri" w:cs="Calibri"/>
        </w:rPr>
        <w:t>al momento</w:t>
      </w:r>
      <w:r w:rsidR="00054212" w:rsidRPr="00391CF1">
        <w:rPr>
          <w:rFonts w:ascii="Calibri" w:hAnsi="Calibri" w:cs="Calibri"/>
        </w:rPr>
        <w:t xml:space="preserve"> in cui</w:t>
      </w:r>
      <w:r w:rsidRPr="00391CF1">
        <w:rPr>
          <w:rFonts w:ascii="Calibri" w:hAnsi="Calibri" w:cs="Calibri"/>
        </w:rPr>
        <w:t xml:space="preserve"> le società più piccole torneranno a </w:t>
      </w:r>
      <w:r w:rsidR="00242351" w:rsidRPr="00391CF1">
        <w:rPr>
          <w:rFonts w:ascii="Calibri" w:hAnsi="Calibri" w:cs="Calibri"/>
        </w:rPr>
        <w:t>registrare risultati positivi</w:t>
      </w:r>
      <w:r w:rsidRPr="00391CF1">
        <w:rPr>
          <w:rFonts w:ascii="Calibri" w:hAnsi="Calibri" w:cs="Calibri"/>
        </w:rPr>
        <w:t>.</w:t>
      </w:r>
    </w:p>
    <w:p w14:paraId="1FEB091B" w14:textId="77777777" w:rsidR="00AE7A0A" w:rsidRPr="00391CF1" w:rsidRDefault="00AE7A0A" w:rsidP="00391CF1">
      <w:pPr>
        <w:spacing w:after="0" w:line="240" w:lineRule="auto"/>
        <w:contextualSpacing/>
        <w:rPr>
          <w:rFonts w:ascii="Calibri" w:hAnsi="Calibri" w:cs="Calibri"/>
        </w:rPr>
      </w:pPr>
    </w:p>
    <w:p w14:paraId="701925C1" w14:textId="2DBC9DD2" w:rsidR="00981B24" w:rsidRPr="00391CF1" w:rsidRDefault="00192EC5" w:rsidP="00391CF1">
      <w:pPr>
        <w:spacing w:after="0" w:line="240" w:lineRule="auto"/>
        <w:contextualSpacing/>
        <w:rPr>
          <w:rFonts w:ascii="Calibri" w:hAnsi="Calibri" w:cs="Calibri"/>
        </w:rPr>
      </w:pPr>
      <w:r w:rsidRPr="00391CF1">
        <w:rPr>
          <w:rFonts w:ascii="Calibri" w:hAnsi="Calibri" w:cs="Calibri"/>
          <w:b/>
          <w:bCs/>
        </w:rPr>
        <w:t xml:space="preserve">Stiamo iniziando a individuare alcune opportunità interessanti tra le small </w:t>
      </w:r>
      <w:proofErr w:type="spellStart"/>
      <w:r w:rsidRPr="00391CF1">
        <w:rPr>
          <w:rFonts w:ascii="Calibri" w:hAnsi="Calibri" w:cs="Calibri"/>
          <w:b/>
          <w:bCs/>
        </w:rPr>
        <w:t>cap</w:t>
      </w:r>
      <w:proofErr w:type="spellEnd"/>
      <w:r w:rsidRPr="00391CF1">
        <w:rPr>
          <w:rFonts w:ascii="Calibri" w:hAnsi="Calibri" w:cs="Calibri"/>
          <w:b/>
          <w:bCs/>
        </w:rPr>
        <w:t>, in particolare nelle regioni che hanno già sperimentato il fardello del rialzo dei tassi d’interesse</w:t>
      </w:r>
      <w:r w:rsidRPr="00391CF1">
        <w:rPr>
          <w:rFonts w:ascii="Calibri" w:hAnsi="Calibri" w:cs="Calibri"/>
        </w:rPr>
        <w:t xml:space="preserve">. Quando i mercati riconoscono che è iniziata una nuova fase del ciclo d’investimento, i prezzi delle azioni spesso </w:t>
      </w:r>
      <w:r w:rsidR="00BE03E3" w:rsidRPr="00391CF1">
        <w:rPr>
          <w:rFonts w:ascii="Calibri" w:hAnsi="Calibri" w:cs="Calibri"/>
        </w:rPr>
        <w:t>cambiano</w:t>
      </w:r>
      <w:r w:rsidRPr="00391CF1">
        <w:rPr>
          <w:rFonts w:ascii="Calibri" w:hAnsi="Calibri" w:cs="Calibri"/>
        </w:rPr>
        <w:t xml:space="preserve"> bruscamente e improvvisamente. </w:t>
      </w:r>
      <w:r w:rsidR="008C348D" w:rsidRPr="00391CF1">
        <w:rPr>
          <w:rFonts w:ascii="Calibri" w:hAnsi="Calibri" w:cs="Calibri"/>
        </w:rPr>
        <w:t>Pur essendo</w:t>
      </w:r>
      <w:r w:rsidRPr="00391CF1">
        <w:rPr>
          <w:rFonts w:ascii="Calibri" w:hAnsi="Calibri" w:cs="Calibri"/>
        </w:rPr>
        <w:t xml:space="preserve"> importante tener presente che la performance</w:t>
      </w:r>
      <w:r w:rsidR="005069AE" w:rsidRPr="00391CF1">
        <w:rPr>
          <w:rFonts w:ascii="Calibri" w:hAnsi="Calibri" w:cs="Calibri"/>
        </w:rPr>
        <w:t xml:space="preserve"> degli investimenti </w:t>
      </w:r>
      <w:r w:rsidRPr="00391CF1">
        <w:rPr>
          <w:rFonts w:ascii="Calibri" w:hAnsi="Calibri" w:cs="Calibri"/>
        </w:rPr>
        <w:t xml:space="preserve">può essere compromessa da un aumento troppo precoce dell'allocazione </w:t>
      </w:r>
      <w:r w:rsidR="008C348D" w:rsidRPr="00391CF1">
        <w:rPr>
          <w:rFonts w:ascii="Calibri" w:hAnsi="Calibri" w:cs="Calibri"/>
        </w:rPr>
        <w:t>verso le</w:t>
      </w:r>
      <w:r w:rsidRPr="00391CF1">
        <w:rPr>
          <w:rFonts w:ascii="Calibri" w:hAnsi="Calibri" w:cs="Calibri"/>
        </w:rPr>
        <w:t xml:space="preserve"> società </w:t>
      </w:r>
      <w:r w:rsidR="005069AE" w:rsidRPr="00391CF1">
        <w:rPr>
          <w:rFonts w:ascii="Calibri" w:hAnsi="Calibri" w:cs="Calibri"/>
        </w:rPr>
        <w:t>più piccole</w:t>
      </w:r>
      <w:r w:rsidRPr="00391CF1">
        <w:rPr>
          <w:rFonts w:ascii="Calibri" w:hAnsi="Calibri" w:cs="Calibri"/>
        </w:rPr>
        <w:t xml:space="preserve">, è </w:t>
      </w:r>
      <w:r w:rsidR="00834EB1" w:rsidRPr="00391CF1">
        <w:rPr>
          <w:rFonts w:ascii="Calibri" w:hAnsi="Calibri" w:cs="Calibri"/>
        </w:rPr>
        <w:t>importante</w:t>
      </w:r>
      <w:r w:rsidRPr="00391CF1">
        <w:rPr>
          <w:rFonts w:ascii="Calibri" w:hAnsi="Calibri" w:cs="Calibri"/>
        </w:rPr>
        <w:t xml:space="preserve"> assicurarsi di </w:t>
      </w:r>
      <w:r w:rsidR="005069AE" w:rsidRPr="00391CF1">
        <w:rPr>
          <w:rFonts w:ascii="Calibri" w:hAnsi="Calibri" w:cs="Calibri"/>
        </w:rPr>
        <w:t>essere investiti</w:t>
      </w:r>
      <w:r w:rsidR="008C348D" w:rsidRPr="00391CF1">
        <w:rPr>
          <w:rFonts w:ascii="Calibri" w:hAnsi="Calibri" w:cs="Calibri"/>
        </w:rPr>
        <w:t xml:space="preserve">, </w:t>
      </w:r>
      <w:r w:rsidR="00834EB1" w:rsidRPr="00391CF1">
        <w:rPr>
          <w:rFonts w:ascii="Calibri" w:hAnsi="Calibri" w:cs="Calibri"/>
        </w:rPr>
        <w:t>per</w:t>
      </w:r>
      <w:r w:rsidRPr="00391CF1">
        <w:rPr>
          <w:rFonts w:ascii="Calibri" w:hAnsi="Calibri" w:cs="Calibri"/>
        </w:rPr>
        <w:t xml:space="preserve"> evitare di perdere la performance delle small </w:t>
      </w:r>
      <w:proofErr w:type="spellStart"/>
      <w:r w:rsidRPr="00391CF1">
        <w:rPr>
          <w:rFonts w:ascii="Calibri" w:hAnsi="Calibri" w:cs="Calibri"/>
        </w:rPr>
        <w:t>cap</w:t>
      </w:r>
      <w:proofErr w:type="spellEnd"/>
      <w:r w:rsidRPr="00391CF1">
        <w:rPr>
          <w:rFonts w:ascii="Calibri" w:hAnsi="Calibri" w:cs="Calibri"/>
        </w:rPr>
        <w:t xml:space="preserve">, che spesso </w:t>
      </w:r>
      <w:r w:rsidR="00834EB1" w:rsidRPr="00391CF1">
        <w:rPr>
          <w:rFonts w:ascii="Calibri" w:hAnsi="Calibri" w:cs="Calibri"/>
        </w:rPr>
        <w:t>arriva</w:t>
      </w:r>
      <w:r w:rsidRPr="00391CF1">
        <w:rPr>
          <w:rFonts w:ascii="Calibri" w:hAnsi="Calibri" w:cs="Calibri"/>
        </w:rPr>
        <w:t xml:space="preserve"> all'improvviso.</w:t>
      </w:r>
    </w:p>
    <w:p w14:paraId="633C5C81" w14:textId="77777777" w:rsidR="005D5F6A" w:rsidRPr="00391CF1" w:rsidRDefault="005D5F6A" w:rsidP="00391CF1">
      <w:pPr>
        <w:spacing w:after="0" w:line="240" w:lineRule="auto"/>
        <w:contextualSpacing/>
        <w:rPr>
          <w:rFonts w:ascii="Calibri" w:hAnsi="Calibri" w:cs="Calibri"/>
        </w:rPr>
      </w:pPr>
    </w:p>
    <w:sectPr w:rsidR="005D5F6A" w:rsidRPr="00391C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F37"/>
    <w:rsid w:val="000368E7"/>
    <w:rsid w:val="00054212"/>
    <w:rsid w:val="00064AF1"/>
    <w:rsid w:val="000D43CF"/>
    <w:rsid w:val="00106638"/>
    <w:rsid w:val="0012224C"/>
    <w:rsid w:val="00192EC5"/>
    <w:rsid w:val="001C653E"/>
    <w:rsid w:val="001F397F"/>
    <w:rsid w:val="00242351"/>
    <w:rsid w:val="00254580"/>
    <w:rsid w:val="00284101"/>
    <w:rsid w:val="002B0DDE"/>
    <w:rsid w:val="002F7105"/>
    <w:rsid w:val="0031308C"/>
    <w:rsid w:val="00322B51"/>
    <w:rsid w:val="00391CF1"/>
    <w:rsid w:val="003C563A"/>
    <w:rsid w:val="004A5F77"/>
    <w:rsid w:val="004E28CD"/>
    <w:rsid w:val="005069AE"/>
    <w:rsid w:val="00533B55"/>
    <w:rsid w:val="00550F40"/>
    <w:rsid w:val="00561D5B"/>
    <w:rsid w:val="0057708C"/>
    <w:rsid w:val="005B07A2"/>
    <w:rsid w:val="005B4AF6"/>
    <w:rsid w:val="005D5F6A"/>
    <w:rsid w:val="005F6F37"/>
    <w:rsid w:val="00644A3A"/>
    <w:rsid w:val="006834E8"/>
    <w:rsid w:val="006904E9"/>
    <w:rsid w:val="00696382"/>
    <w:rsid w:val="006C2BD7"/>
    <w:rsid w:val="00732BD8"/>
    <w:rsid w:val="0076116A"/>
    <w:rsid w:val="007B104E"/>
    <w:rsid w:val="00802454"/>
    <w:rsid w:val="00834EB1"/>
    <w:rsid w:val="00841242"/>
    <w:rsid w:val="008B2C7E"/>
    <w:rsid w:val="008C348D"/>
    <w:rsid w:val="008C7CEB"/>
    <w:rsid w:val="008F4013"/>
    <w:rsid w:val="00981B24"/>
    <w:rsid w:val="009A69D2"/>
    <w:rsid w:val="009D3276"/>
    <w:rsid w:val="00A67856"/>
    <w:rsid w:val="00AE7A0A"/>
    <w:rsid w:val="00B36A0B"/>
    <w:rsid w:val="00B5076B"/>
    <w:rsid w:val="00BE03E3"/>
    <w:rsid w:val="00C50D49"/>
    <w:rsid w:val="00C94289"/>
    <w:rsid w:val="00D01AC6"/>
    <w:rsid w:val="00D073AE"/>
    <w:rsid w:val="00D41D70"/>
    <w:rsid w:val="00DE1571"/>
    <w:rsid w:val="00E77A9A"/>
    <w:rsid w:val="00E9120A"/>
    <w:rsid w:val="00F3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6AB97"/>
  <w15:chartTrackingRefBased/>
  <w15:docId w15:val="{D542D48E-7630-451C-B490-3CC90D5C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evisione">
    <w:name w:val="Revision"/>
    <w:hidden/>
    <w:uiPriority w:val="99"/>
    <w:semiHidden/>
    <w:rsid w:val="00C50D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738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Sistema</dc:creator>
  <cp:keywords/>
  <dc:description/>
  <cp:lastModifiedBy>Diana Ferla</cp:lastModifiedBy>
  <cp:revision>4</cp:revision>
  <dcterms:created xsi:type="dcterms:W3CDTF">2024-02-07T15:46:00Z</dcterms:created>
  <dcterms:modified xsi:type="dcterms:W3CDTF">2024-02-22T08:41:00Z</dcterms:modified>
</cp:coreProperties>
</file>