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5891B" w14:textId="6506076A" w:rsidR="00EC3F74" w:rsidRPr="00EC3F74" w:rsidRDefault="009D6924" w:rsidP="00734714">
      <w:pPr>
        <w:spacing w:after="0" w:line="240" w:lineRule="auto"/>
        <w:contextualSpacing/>
        <w:rPr>
          <w:b/>
          <w:bCs/>
        </w:rPr>
      </w:pPr>
      <w:r w:rsidRPr="007C3A7B">
        <w:rPr>
          <w:b/>
          <w:bCs/>
        </w:rPr>
        <w:t>T.</w:t>
      </w:r>
      <w:r w:rsidR="006B0325" w:rsidRPr="007C3A7B">
        <w:rPr>
          <w:b/>
          <w:bCs/>
        </w:rPr>
        <w:t xml:space="preserve"> </w:t>
      </w:r>
      <w:r w:rsidRPr="007C3A7B">
        <w:rPr>
          <w:b/>
          <w:bCs/>
        </w:rPr>
        <w:t>Rowe</w:t>
      </w:r>
      <w:r w:rsidR="00CB1CF4">
        <w:rPr>
          <w:b/>
          <w:bCs/>
        </w:rPr>
        <w:t xml:space="preserve"> </w:t>
      </w:r>
      <w:r w:rsidRPr="007C3A7B">
        <w:rPr>
          <w:b/>
          <w:bCs/>
        </w:rPr>
        <w:t>Price</w:t>
      </w:r>
      <w:r w:rsidR="006B0325" w:rsidRPr="007C3A7B">
        <w:rPr>
          <w:b/>
          <w:bCs/>
        </w:rPr>
        <w:t xml:space="preserve">: </w:t>
      </w:r>
      <w:r w:rsidR="009B7FA7">
        <w:rPr>
          <w:b/>
          <w:bCs/>
        </w:rPr>
        <w:t>Petrolio</w:t>
      </w:r>
      <w:r w:rsidR="00B82E6B">
        <w:rPr>
          <w:b/>
          <w:bCs/>
        </w:rPr>
        <w:t xml:space="preserve">, </w:t>
      </w:r>
      <w:r w:rsidR="009B7FA7">
        <w:rPr>
          <w:b/>
          <w:bCs/>
        </w:rPr>
        <w:t xml:space="preserve">ecco come </w:t>
      </w:r>
      <w:r w:rsidR="00177ADA">
        <w:rPr>
          <w:b/>
          <w:bCs/>
        </w:rPr>
        <w:t xml:space="preserve">le dinamiche dei prezzi </w:t>
      </w:r>
      <w:r w:rsidR="009B7FA7">
        <w:rPr>
          <w:b/>
          <w:bCs/>
        </w:rPr>
        <w:t>pot</w:t>
      </w:r>
      <w:r w:rsidR="00177ADA">
        <w:rPr>
          <w:b/>
          <w:bCs/>
        </w:rPr>
        <w:t xml:space="preserve">rebbero impattare sui bond </w:t>
      </w:r>
      <w:r w:rsidR="009B7FA7">
        <w:rPr>
          <w:b/>
          <w:bCs/>
        </w:rPr>
        <w:t>USA</w:t>
      </w:r>
    </w:p>
    <w:p w14:paraId="680D907F" w14:textId="77777777" w:rsidR="00734714" w:rsidRDefault="00734714" w:rsidP="00734714">
      <w:pPr>
        <w:spacing w:after="0" w:line="240" w:lineRule="auto"/>
        <w:contextualSpacing/>
        <w:rPr>
          <w:lang w:val="en-US"/>
        </w:rPr>
      </w:pPr>
    </w:p>
    <w:p w14:paraId="1534AB2C" w14:textId="1DF20098" w:rsidR="006B0325" w:rsidRPr="00EC3F74" w:rsidRDefault="006B0325" w:rsidP="00734714">
      <w:pPr>
        <w:spacing w:after="0" w:line="240" w:lineRule="auto"/>
        <w:contextualSpacing/>
        <w:rPr>
          <w:lang w:val="en-US"/>
        </w:rPr>
      </w:pPr>
      <w:r w:rsidRPr="007C3A7B">
        <w:rPr>
          <w:lang w:val="en-US"/>
        </w:rPr>
        <w:t xml:space="preserve">A </w:t>
      </w:r>
      <w:proofErr w:type="spellStart"/>
      <w:r w:rsidRPr="007C3A7B">
        <w:rPr>
          <w:lang w:val="en-US"/>
        </w:rPr>
        <w:t>cura</w:t>
      </w:r>
      <w:proofErr w:type="spellEnd"/>
      <w:r w:rsidRPr="007C3A7B">
        <w:rPr>
          <w:lang w:val="en-US"/>
        </w:rPr>
        <w:t xml:space="preserve"> di </w:t>
      </w:r>
      <w:r w:rsidRPr="00EC3F74">
        <w:rPr>
          <w:b/>
          <w:bCs/>
          <w:lang w:val="en-US"/>
        </w:rPr>
        <w:t xml:space="preserve">Steve Boothe, </w:t>
      </w:r>
      <w:r w:rsidRPr="007C3A7B">
        <w:rPr>
          <w:b/>
          <w:bCs/>
          <w:lang w:val="en-US"/>
        </w:rPr>
        <w:t>Head of Investment</w:t>
      </w:r>
      <w:r w:rsidRPr="007C3A7B">
        <w:rPr>
          <w:rFonts w:ascii="Cambria Math" w:hAnsi="Cambria Math" w:cs="Cambria Math"/>
          <w:b/>
          <w:bCs/>
          <w:lang w:val="en-US"/>
        </w:rPr>
        <w:t>‑</w:t>
      </w:r>
      <w:r w:rsidRPr="007C3A7B">
        <w:rPr>
          <w:b/>
          <w:bCs/>
          <w:lang w:val="en-US"/>
        </w:rPr>
        <w:t>Grade Fixed Income,</w:t>
      </w:r>
      <w:r w:rsidRPr="00EC3F74">
        <w:rPr>
          <w:lang w:val="en-US"/>
        </w:rPr>
        <w:t xml:space="preserve"> e</w:t>
      </w:r>
      <w:r w:rsidRPr="007C3A7B">
        <w:rPr>
          <w:b/>
          <w:bCs/>
          <w:lang w:val="en-US"/>
        </w:rPr>
        <w:t xml:space="preserve"> </w:t>
      </w:r>
      <w:r w:rsidRPr="00EC3F74">
        <w:rPr>
          <w:b/>
          <w:bCs/>
          <w:lang w:val="en-US"/>
        </w:rPr>
        <w:t xml:space="preserve">Elliot Shue, </w:t>
      </w:r>
      <w:r w:rsidRPr="007C3A7B">
        <w:rPr>
          <w:b/>
          <w:bCs/>
          <w:lang w:val="en-US"/>
        </w:rPr>
        <w:t>Credit Analyst, T. Rowe Price</w:t>
      </w:r>
    </w:p>
    <w:p w14:paraId="7C973C11" w14:textId="1B76B251" w:rsidR="006C6269" w:rsidRDefault="006B0325" w:rsidP="00734714">
      <w:pPr>
        <w:spacing w:after="0" w:line="240" w:lineRule="auto"/>
        <w:contextualSpacing/>
        <w:rPr>
          <w:b/>
          <w:bCs/>
        </w:rPr>
      </w:pPr>
      <w:r w:rsidRPr="00734714">
        <w:rPr>
          <w:lang w:val="en-US"/>
        </w:rPr>
        <w:br/>
      </w:r>
      <w:r w:rsidR="00524F9E" w:rsidRPr="00CE0A3A">
        <w:t xml:space="preserve">Gli incrementi di produttività senza precedenti associati alla rivoluzione dello </w:t>
      </w:r>
      <w:proofErr w:type="spellStart"/>
      <w:r w:rsidR="00524F9E" w:rsidRPr="00CE0A3A">
        <w:t>shale</w:t>
      </w:r>
      <w:proofErr w:type="spellEnd"/>
      <w:r w:rsidR="00524F9E" w:rsidRPr="00CE0A3A">
        <w:t xml:space="preserve"> negli USA hanno determinato un mercato ribassista</w:t>
      </w:r>
      <w:r w:rsidR="0095752C">
        <w:t>,</w:t>
      </w:r>
      <w:r w:rsidR="00524F9E" w:rsidRPr="00CE0A3A">
        <w:t xml:space="preserve"> quasi decennale</w:t>
      </w:r>
      <w:r w:rsidR="0095752C">
        <w:t>,</w:t>
      </w:r>
      <w:r w:rsidR="00524F9E" w:rsidRPr="00CE0A3A">
        <w:t xml:space="preserve"> </w:t>
      </w:r>
      <w:r w:rsidR="0095752C">
        <w:t>per i</w:t>
      </w:r>
      <w:r w:rsidR="00524F9E" w:rsidRPr="00CE0A3A">
        <w:t xml:space="preserve"> prezzi del petrolio e del gas naturale.</w:t>
      </w:r>
      <w:r w:rsidR="00CD28E0" w:rsidRPr="00CE0A3A">
        <w:t xml:space="preserve"> Tuttavia, </w:t>
      </w:r>
      <w:r w:rsidR="0095752C">
        <w:t>sussistono</w:t>
      </w:r>
      <w:r w:rsidR="00CD28E0" w:rsidRPr="00CE0A3A">
        <w:t xml:space="preserve"> crescenti segnali</w:t>
      </w:r>
      <w:r w:rsidR="0095752C">
        <w:t xml:space="preserve">, secondo cui </w:t>
      </w:r>
      <w:r w:rsidR="00CD28E0" w:rsidRPr="00CE0A3A">
        <w:t>il mercato ribassista potrebbe attenuarsi. Una</w:t>
      </w:r>
      <w:r w:rsidR="006C6269" w:rsidRPr="00CE0A3A">
        <w:t xml:space="preserve"> </w:t>
      </w:r>
      <w:r w:rsidR="00CD28E0" w:rsidRPr="007C3A7B">
        <w:rPr>
          <w:b/>
          <w:bCs/>
        </w:rPr>
        <w:t>transizione verso un</w:t>
      </w:r>
      <w:r w:rsidR="0095752C" w:rsidRPr="007C3A7B">
        <w:rPr>
          <w:b/>
          <w:bCs/>
        </w:rPr>
        <w:t xml:space="preserve"> calo della</w:t>
      </w:r>
      <w:r w:rsidR="00CD28E0" w:rsidRPr="007C3A7B">
        <w:rPr>
          <w:b/>
          <w:bCs/>
        </w:rPr>
        <w:t xml:space="preserve"> produttività creerebbe probabilmente un </w:t>
      </w:r>
      <w:r w:rsidR="006449D7">
        <w:rPr>
          <w:b/>
          <w:bCs/>
        </w:rPr>
        <w:t>contesto</w:t>
      </w:r>
      <w:r w:rsidR="006449D7" w:rsidRPr="007C3A7B">
        <w:rPr>
          <w:b/>
          <w:bCs/>
        </w:rPr>
        <w:t xml:space="preserve"> </w:t>
      </w:r>
      <w:r w:rsidR="00CD28E0" w:rsidRPr="007C3A7B">
        <w:rPr>
          <w:b/>
          <w:bCs/>
        </w:rPr>
        <w:t xml:space="preserve">più favorevole </w:t>
      </w:r>
      <w:r w:rsidR="006449D7">
        <w:rPr>
          <w:b/>
          <w:bCs/>
        </w:rPr>
        <w:t>per gli</w:t>
      </w:r>
      <w:r w:rsidR="006449D7" w:rsidRPr="007C3A7B">
        <w:rPr>
          <w:b/>
          <w:bCs/>
        </w:rPr>
        <w:t xml:space="preserve"> </w:t>
      </w:r>
      <w:r w:rsidR="00CD28E0" w:rsidRPr="007C3A7B">
        <w:rPr>
          <w:b/>
          <w:bCs/>
        </w:rPr>
        <w:t>investimenti energetici.</w:t>
      </w:r>
    </w:p>
    <w:p w14:paraId="55505B02" w14:textId="77777777" w:rsidR="00734714" w:rsidRPr="007C3A7B" w:rsidRDefault="00734714" w:rsidP="00734714">
      <w:pPr>
        <w:spacing w:after="0" w:line="240" w:lineRule="auto"/>
        <w:contextualSpacing/>
        <w:rPr>
          <w:b/>
          <w:bCs/>
        </w:rPr>
      </w:pPr>
    </w:p>
    <w:p w14:paraId="18019FC5" w14:textId="77777777" w:rsidR="00734714" w:rsidRDefault="00CF7631" w:rsidP="00734714">
      <w:pPr>
        <w:spacing w:after="0" w:line="240" w:lineRule="auto"/>
        <w:contextualSpacing/>
      </w:pPr>
      <w:r>
        <w:rPr>
          <w:u w:val="single"/>
        </w:rPr>
        <w:t>Il super ciclo a una svolta</w:t>
      </w:r>
      <w:r w:rsidR="00A54333" w:rsidRPr="007C3A7B">
        <w:rPr>
          <w:u w:val="single"/>
        </w:rPr>
        <w:t xml:space="preserve"> </w:t>
      </w:r>
      <w:r w:rsidR="00A54333" w:rsidRPr="00CE0A3A">
        <w:rPr>
          <w:b/>
          <w:bCs/>
        </w:rPr>
        <w:t xml:space="preserve"> </w:t>
      </w:r>
      <w:r w:rsidR="00CB1CF4">
        <w:br/>
      </w:r>
      <w:r w:rsidR="00B4663C" w:rsidRPr="00CE0A3A">
        <w:t xml:space="preserve">La rivoluzione connessa a gas e </w:t>
      </w:r>
      <w:proofErr w:type="spellStart"/>
      <w:r w:rsidR="00B4663C" w:rsidRPr="00CE0A3A">
        <w:t>shale</w:t>
      </w:r>
      <w:proofErr w:type="spellEnd"/>
      <w:r w:rsidR="00B4663C" w:rsidRPr="00CE0A3A">
        <w:t xml:space="preserve"> oil negli USA ha determinato un'impennata della produttività e ha </w:t>
      </w:r>
      <w:r w:rsidR="00AF2724">
        <w:t xml:space="preserve">innescato </w:t>
      </w:r>
      <w:r w:rsidR="00B4663C" w:rsidRPr="00CE0A3A">
        <w:t>un mercato ribassista per petrolio e gas</w:t>
      </w:r>
      <w:r w:rsidR="00AF2724">
        <w:t>. Tuttavia</w:t>
      </w:r>
      <w:r w:rsidR="006F5464">
        <w:t>,</w:t>
      </w:r>
      <w:r w:rsidR="00406AD3">
        <w:t xml:space="preserve"> </w:t>
      </w:r>
      <w:r w:rsidR="00B4663C" w:rsidRPr="00CE0A3A">
        <w:t>d</w:t>
      </w:r>
      <w:r w:rsidR="00406AD3">
        <w:t>a</w:t>
      </w:r>
      <w:r w:rsidR="00B4663C" w:rsidRPr="00CE0A3A">
        <w:t>i dati</w:t>
      </w:r>
      <w:r w:rsidR="00406AD3">
        <w:t xml:space="preserve"> stanno emergendo segnali di un calo </w:t>
      </w:r>
      <w:r w:rsidR="00B4663C" w:rsidRPr="00CE0A3A">
        <w:t>di produttività.</w:t>
      </w:r>
      <w:r w:rsidR="00E56D50">
        <w:t xml:space="preserve"> </w:t>
      </w:r>
      <w:r w:rsidR="003D7EA1" w:rsidRPr="00CE0A3A">
        <w:t xml:space="preserve">È possibile che, </w:t>
      </w:r>
      <w:r w:rsidR="008744E1" w:rsidRPr="00CE0A3A">
        <w:t>a fronte della</w:t>
      </w:r>
      <w:r w:rsidR="003D7EA1" w:rsidRPr="00CE0A3A">
        <w:t xml:space="preserve"> normalizzazione delle distorsioni legate alla pandemia, quello che ci è sembrato un cambiamento strutturale fini</w:t>
      </w:r>
      <w:r w:rsidR="008744E1" w:rsidRPr="00CE0A3A">
        <w:t>rà</w:t>
      </w:r>
      <w:r w:rsidR="003D7EA1" w:rsidRPr="00CE0A3A">
        <w:t xml:space="preserve"> per essere una dinamica ciclica. In tal caso, il mercato tornerebbe a riaccelerare e la produttività </w:t>
      </w:r>
      <w:r w:rsidR="00094690">
        <w:t>tornare a crescere</w:t>
      </w:r>
      <w:r w:rsidR="003D7EA1" w:rsidRPr="00CE0A3A">
        <w:t xml:space="preserve">, esercitando potenzialmente una pressione al ribasso sui prezzi del petrolio. </w:t>
      </w:r>
      <w:r w:rsidR="00406AD3">
        <w:t xml:space="preserve">Tuttavia, </w:t>
      </w:r>
      <w:r w:rsidR="00406AD3" w:rsidRPr="007C3A7B">
        <w:rPr>
          <w:b/>
          <w:bCs/>
        </w:rPr>
        <w:t>i</w:t>
      </w:r>
      <w:r w:rsidRPr="007C3A7B">
        <w:rPr>
          <w:b/>
          <w:bCs/>
        </w:rPr>
        <w:t xml:space="preserve"> </w:t>
      </w:r>
      <w:r w:rsidR="003D7EA1" w:rsidRPr="007C3A7B">
        <w:rPr>
          <w:b/>
          <w:bCs/>
        </w:rPr>
        <w:t>prezzi basati sul mercato (future</w:t>
      </w:r>
      <w:r w:rsidR="008744E1" w:rsidRPr="007C3A7B">
        <w:rPr>
          <w:b/>
          <w:bCs/>
        </w:rPr>
        <w:t xml:space="preserve"> sul</w:t>
      </w:r>
      <w:r w:rsidR="003D7EA1" w:rsidRPr="007C3A7B">
        <w:rPr>
          <w:b/>
          <w:bCs/>
        </w:rPr>
        <w:t xml:space="preserve"> WTI)</w:t>
      </w:r>
      <w:r w:rsidRPr="007C3A7B">
        <w:rPr>
          <w:b/>
          <w:bCs/>
        </w:rPr>
        <w:t xml:space="preserve"> e</w:t>
      </w:r>
      <w:r w:rsidR="003D7EA1" w:rsidRPr="007C3A7B">
        <w:rPr>
          <w:b/>
          <w:bCs/>
        </w:rPr>
        <w:t xml:space="preserve"> le indagini sui produttori </w:t>
      </w:r>
      <w:r w:rsidRPr="007C3A7B">
        <w:rPr>
          <w:b/>
          <w:bCs/>
        </w:rPr>
        <w:t>(</w:t>
      </w:r>
      <w:r w:rsidR="003D7EA1" w:rsidRPr="007C3A7B">
        <w:rPr>
          <w:b/>
          <w:bCs/>
        </w:rPr>
        <w:t>Kansas City Federal Reserve)</w:t>
      </w:r>
      <w:r w:rsidR="00E56D50" w:rsidRPr="007C3A7B">
        <w:rPr>
          <w:b/>
          <w:bCs/>
        </w:rPr>
        <w:t xml:space="preserve"> </w:t>
      </w:r>
      <w:r w:rsidR="003D7EA1" w:rsidRPr="007C3A7B">
        <w:rPr>
          <w:b/>
          <w:bCs/>
        </w:rPr>
        <w:t xml:space="preserve">mostrano non solo una ripresa </w:t>
      </w:r>
      <w:r w:rsidR="0030453E" w:rsidRPr="007C3A7B">
        <w:rPr>
          <w:b/>
          <w:bCs/>
        </w:rPr>
        <w:t>dalle distorsioni determinate dalla pandemia</w:t>
      </w:r>
      <w:r w:rsidR="003D7EA1" w:rsidRPr="007C3A7B">
        <w:rPr>
          <w:b/>
          <w:bCs/>
        </w:rPr>
        <w:t xml:space="preserve">, ma anche </w:t>
      </w:r>
      <w:r w:rsidR="00A15D9E" w:rsidRPr="007C3A7B">
        <w:rPr>
          <w:b/>
          <w:bCs/>
        </w:rPr>
        <w:t>un rialzo dei prezzi</w:t>
      </w:r>
      <w:r w:rsidR="00A15D9E" w:rsidRPr="00CE0A3A">
        <w:t xml:space="preserve"> </w:t>
      </w:r>
      <w:r w:rsidR="00094690">
        <w:t>necessari</w:t>
      </w:r>
      <w:r w:rsidR="00A15D9E" w:rsidRPr="00CE0A3A">
        <w:t xml:space="preserve"> per conseguire un utile secondo i produttori. </w:t>
      </w:r>
    </w:p>
    <w:p w14:paraId="6E9774B8" w14:textId="77777777" w:rsidR="00734714" w:rsidRDefault="00734714" w:rsidP="00734714">
      <w:pPr>
        <w:spacing w:after="0" w:line="240" w:lineRule="auto"/>
        <w:contextualSpacing/>
      </w:pPr>
    </w:p>
    <w:p w14:paraId="356FD059" w14:textId="115B173F" w:rsidR="009D6924" w:rsidRDefault="006F5464" w:rsidP="00734714">
      <w:pPr>
        <w:spacing w:after="0" w:line="240" w:lineRule="auto"/>
        <w:contextualSpacing/>
      </w:pPr>
      <w:r>
        <w:t>Q</w:t>
      </w:r>
      <w:r w:rsidR="00A15D9E" w:rsidRPr="00CE0A3A">
        <w:t xml:space="preserve">uesto è verosimilmente sospinto da un rallentamento della produttività negli USA, poiché </w:t>
      </w:r>
      <w:r w:rsidR="00560312" w:rsidRPr="00CE0A3A">
        <w:t>petrolio e gas disponibili diventano più cari da ottenere</w:t>
      </w:r>
      <w:r w:rsidR="009D6924" w:rsidRPr="00CE0A3A">
        <w:t xml:space="preserve">. </w:t>
      </w:r>
      <w:r w:rsidR="00094690">
        <w:t>Tale</w:t>
      </w:r>
      <w:r w:rsidR="004C1C85" w:rsidRPr="00CE0A3A">
        <w:t xml:space="preserve"> dinamica ci porta a ritenere che il super</w:t>
      </w:r>
      <w:r>
        <w:t xml:space="preserve"> </w:t>
      </w:r>
      <w:r w:rsidR="004C1C85" w:rsidRPr="00CE0A3A">
        <w:t>ciclo delle materie prime stia registrando una svolta</w:t>
      </w:r>
      <w:r w:rsidR="009D6924" w:rsidRPr="00CE0A3A">
        <w:t xml:space="preserve">. </w:t>
      </w:r>
    </w:p>
    <w:p w14:paraId="3023796C" w14:textId="77777777" w:rsidR="00734714" w:rsidRDefault="00734714" w:rsidP="00734714">
      <w:pPr>
        <w:spacing w:after="0" w:line="240" w:lineRule="auto"/>
        <w:contextualSpacing/>
      </w:pPr>
    </w:p>
    <w:p w14:paraId="72E64752" w14:textId="08302C9B" w:rsidR="006F5464" w:rsidRDefault="00CF7631" w:rsidP="00734714">
      <w:pPr>
        <w:spacing w:after="0" w:line="240" w:lineRule="auto"/>
        <w:contextualSpacing/>
        <w:rPr>
          <w:sz w:val="18"/>
          <w:szCs w:val="18"/>
        </w:rPr>
      </w:pPr>
      <w:r w:rsidRPr="007C3A7B">
        <w:rPr>
          <w:u w:val="single"/>
        </w:rPr>
        <w:t>L’impatto sul mercato obbligazionario societario</w:t>
      </w:r>
      <w:r>
        <w:rPr>
          <w:b/>
          <w:bCs/>
        </w:rPr>
        <w:br/>
      </w:r>
      <w:r w:rsidR="004744FC" w:rsidRPr="00CE0A3A">
        <w:t xml:space="preserve">In questo scenario, </w:t>
      </w:r>
      <w:r w:rsidR="004744FC" w:rsidRPr="007C3A7B">
        <w:rPr>
          <w:b/>
          <w:bCs/>
        </w:rPr>
        <w:t>riteniamo che i titoli di credito nel comparto energetico abbiano del potenziale per sovraperformare l'intero mercato obbligazionario</w:t>
      </w:r>
      <w:r w:rsidR="004C22D1" w:rsidRPr="007C3A7B">
        <w:rPr>
          <w:b/>
          <w:bCs/>
        </w:rPr>
        <w:t xml:space="preserve"> di tipo</w:t>
      </w:r>
      <w:r w:rsidR="004744FC" w:rsidRPr="007C3A7B">
        <w:rPr>
          <w:b/>
          <w:bCs/>
        </w:rPr>
        <w:t xml:space="preserve"> investment-grade statunitense</w:t>
      </w:r>
      <w:r w:rsidR="004744FC" w:rsidRPr="00600795">
        <w:t>.</w:t>
      </w:r>
      <w:r w:rsidR="004744FC" w:rsidRPr="00CE0A3A">
        <w:t xml:space="preserve"> Si considerino i recenti cicli di mercato rialzista e ribassista in ambito energetico: </w:t>
      </w:r>
      <w:r w:rsidR="006449D7">
        <w:t>nelle fasi di</w:t>
      </w:r>
      <w:r w:rsidR="006449D7" w:rsidRPr="00CE0A3A">
        <w:t xml:space="preserve"> </w:t>
      </w:r>
      <w:r w:rsidR="004744FC" w:rsidRPr="00CE0A3A">
        <w:t xml:space="preserve">mercato ribassista, i titoli di credito nel comparto energetico sono stati mediamente negoziati con spread </w:t>
      </w:r>
      <w:r w:rsidR="00530F19" w:rsidRPr="00CE0A3A">
        <w:t>di credito</w:t>
      </w:r>
      <w:r w:rsidR="004744FC" w:rsidRPr="00CE0A3A">
        <w:t xml:space="preserve"> più ampi rispetto al mercato generale delle obbligazioni corporate di tipo investment-grade statunitensi. </w:t>
      </w:r>
      <w:r w:rsidR="006449D7">
        <w:t>In fasi di</w:t>
      </w:r>
      <w:r w:rsidR="006449D7" w:rsidRPr="00CE0A3A">
        <w:t xml:space="preserve"> </w:t>
      </w:r>
      <w:r w:rsidR="004744FC" w:rsidRPr="00CE0A3A">
        <w:t xml:space="preserve">mercato rialzista, gli spread </w:t>
      </w:r>
      <w:r w:rsidR="00530F19" w:rsidRPr="00CE0A3A">
        <w:t xml:space="preserve">di credito nel comparto </w:t>
      </w:r>
      <w:r w:rsidR="004744FC" w:rsidRPr="00CE0A3A">
        <w:t>energetic</w:t>
      </w:r>
      <w:r w:rsidR="00530F19" w:rsidRPr="00CE0A3A">
        <w:t>o sono stati mediamente più ristretti rispetto al mercato generale dei titoli corporate di tipo investment-grade.</w:t>
      </w:r>
      <w:r w:rsidR="006F5464">
        <w:rPr>
          <w:sz w:val="18"/>
          <w:szCs w:val="18"/>
        </w:rPr>
        <w:t xml:space="preserve"> </w:t>
      </w:r>
    </w:p>
    <w:p w14:paraId="032A3E3B" w14:textId="77777777" w:rsidR="00734714" w:rsidRPr="00CE0A3A" w:rsidRDefault="00734714" w:rsidP="00734714">
      <w:pPr>
        <w:spacing w:after="0" w:line="240" w:lineRule="auto"/>
        <w:contextualSpacing/>
      </w:pPr>
    </w:p>
    <w:p w14:paraId="3DB285D5" w14:textId="53510F9A" w:rsidR="006E258C" w:rsidRDefault="007A3089" w:rsidP="00734714">
      <w:pPr>
        <w:spacing w:after="0" w:line="240" w:lineRule="auto"/>
        <w:contextualSpacing/>
      </w:pPr>
      <w:r>
        <w:t>Il rialzo</w:t>
      </w:r>
      <w:r w:rsidR="008E6F4D" w:rsidRPr="00CE0A3A">
        <w:t xml:space="preserve"> dei prezzi del petrolio durante il mercato rialzista sembra aver sostenuto gli asset del </w:t>
      </w:r>
      <w:r>
        <w:t>comparto</w:t>
      </w:r>
      <w:r w:rsidR="008E6F4D" w:rsidRPr="00CE0A3A">
        <w:t xml:space="preserve"> energetico, determinando una sovra</w:t>
      </w:r>
      <w:r w:rsidR="006F5464">
        <w:t>-</w:t>
      </w:r>
      <w:r w:rsidR="008E6F4D" w:rsidRPr="00CE0A3A">
        <w:t>performance rispetto al mercato</w:t>
      </w:r>
      <w:r w:rsidR="009D6924" w:rsidRPr="00CE0A3A">
        <w:t>.</w:t>
      </w:r>
      <w:r w:rsidR="006F5464">
        <w:t xml:space="preserve"> </w:t>
      </w:r>
      <w:r w:rsidR="006E258C" w:rsidRPr="00CE0A3A">
        <w:t>Anche i titoli di credito nel comparto energetico hanno mostrato una volatilità ridotta durante il recente mercato rialzista dell'energia. Nel corso di questo periodo, le variazioni d</w:t>
      </w:r>
      <w:r w:rsidR="002B6590">
        <w:t xml:space="preserve">el </w:t>
      </w:r>
      <w:r w:rsidR="006E258C" w:rsidRPr="00CE0A3A">
        <w:t xml:space="preserve">rendimento </w:t>
      </w:r>
      <w:r w:rsidR="002B6590">
        <w:t>d</w:t>
      </w:r>
      <w:r w:rsidR="006E258C" w:rsidRPr="00CE0A3A">
        <w:t xml:space="preserve">ei titoli di credito </w:t>
      </w:r>
      <w:r w:rsidR="002B6590">
        <w:t>nel comparto</w:t>
      </w:r>
      <w:r w:rsidR="006E258C" w:rsidRPr="00CE0A3A">
        <w:t xml:space="preserve"> energetico sono state meno pronunciate rispetto al più ampio mercato investment-grade statunitense.</w:t>
      </w:r>
    </w:p>
    <w:p w14:paraId="11E87266" w14:textId="77777777" w:rsidR="00734714" w:rsidRPr="00CE0A3A" w:rsidRDefault="00734714" w:rsidP="00734714">
      <w:pPr>
        <w:spacing w:after="0" w:line="240" w:lineRule="auto"/>
        <w:contextualSpacing/>
      </w:pPr>
    </w:p>
    <w:p w14:paraId="0697D9DC" w14:textId="67D06C05" w:rsidR="004126E1" w:rsidRDefault="006F5464" w:rsidP="00734714">
      <w:pPr>
        <w:spacing w:after="0" w:line="240" w:lineRule="auto"/>
        <w:contextualSpacing/>
      </w:pPr>
      <w:r>
        <w:t>M</w:t>
      </w:r>
      <w:r w:rsidR="004126E1" w:rsidRPr="00CE0A3A">
        <w:t xml:space="preserve">entre il </w:t>
      </w:r>
      <w:r w:rsidR="004126E1" w:rsidRPr="007C3A7B">
        <w:rPr>
          <w:b/>
          <w:bCs/>
        </w:rPr>
        <w:t xml:space="preserve">mercato energetico più </w:t>
      </w:r>
      <w:r w:rsidR="00FE6FC7" w:rsidRPr="007C3A7B">
        <w:rPr>
          <w:b/>
          <w:bCs/>
        </w:rPr>
        <w:t>in generale</w:t>
      </w:r>
      <w:r w:rsidR="004126E1" w:rsidRPr="007C3A7B">
        <w:rPr>
          <w:b/>
          <w:bCs/>
        </w:rPr>
        <w:t xml:space="preserve"> ha registrato una performance superiore e una minore volatilità durante il più recente</w:t>
      </w:r>
      <w:r w:rsidR="00FE6FC7" w:rsidRPr="007C3A7B">
        <w:rPr>
          <w:b/>
          <w:bCs/>
        </w:rPr>
        <w:t xml:space="preserve"> mercato rialzista</w:t>
      </w:r>
      <w:r w:rsidR="004126E1" w:rsidRPr="00CE0A3A">
        <w:t>, i sotto</w:t>
      </w:r>
      <w:r>
        <w:t>-</w:t>
      </w:r>
      <w:r w:rsidR="004126E1" w:rsidRPr="00CE0A3A">
        <w:t>comparti energetici hanno partecipato in misura diversa. I sotto</w:t>
      </w:r>
      <w:r>
        <w:t>-</w:t>
      </w:r>
      <w:r w:rsidR="007B14E1" w:rsidRPr="00CE0A3A">
        <w:t>comparti</w:t>
      </w:r>
      <w:r w:rsidR="004126E1" w:rsidRPr="00CE0A3A">
        <w:t xml:space="preserve"> E&amp;P </w:t>
      </w:r>
      <w:r w:rsidR="009622FE" w:rsidRPr="00CE0A3A">
        <w:t xml:space="preserve">indipendenti </w:t>
      </w:r>
      <w:r w:rsidR="004126E1" w:rsidRPr="00CE0A3A">
        <w:t xml:space="preserve">e servizi </w:t>
      </w:r>
      <w:r w:rsidR="00AA2B29" w:rsidRPr="00CE0A3A">
        <w:t xml:space="preserve">per giacimenti </w:t>
      </w:r>
      <w:r w:rsidR="004126E1" w:rsidRPr="00CE0A3A">
        <w:t xml:space="preserve">petroliferi hanno registrato le maggiori differenze </w:t>
      </w:r>
      <w:r w:rsidR="002A260A" w:rsidRPr="00CE0A3A">
        <w:t xml:space="preserve">a livello </w:t>
      </w:r>
      <w:r w:rsidR="004126E1" w:rsidRPr="00CE0A3A">
        <w:t xml:space="preserve">di performance nei recenti mercati rialzisti e ribassisti, il che ha </w:t>
      </w:r>
      <w:r w:rsidR="002A260A" w:rsidRPr="00CE0A3A">
        <w:t>intuitivamente</w:t>
      </w:r>
      <w:r w:rsidR="004126E1" w:rsidRPr="00CE0A3A">
        <w:t xml:space="preserve"> s</w:t>
      </w:r>
      <w:r w:rsidR="002A260A" w:rsidRPr="00CE0A3A">
        <w:t>enso</w:t>
      </w:r>
      <w:r w:rsidR="004126E1" w:rsidRPr="00CE0A3A">
        <w:t>: sono i più sensibili ai prezzi del petrolio. Riteniamo che l'impatto di una transizione del ciclo d</w:t>
      </w:r>
      <w:r w:rsidR="00741328">
        <w:t>ella</w:t>
      </w:r>
      <w:r w:rsidR="00200356">
        <w:t xml:space="preserve"> </w:t>
      </w:r>
      <w:r w:rsidR="004126E1" w:rsidRPr="00CE0A3A">
        <w:t>produttività sui settori della catena d</w:t>
      </w:r>
      <w:r w:rsidR="00741328">
        <w:t xml:space="preserve">i </w:t>
      </w:r>
      <w:r w:rsidR="004126E1" w:rsidRPr="00CE0A3A">
        <w:t xml:space="preserve">valore </w:t>
      </w:r>
      <w:r w:rsidR="00741328" w:rsidRPr="00CE0A3A">
        <w:t xml:space="preserve">più a valle </w:t>
      </w:r>
      <w:r w:rsidR="004126E1" w:rsidRPr="00CE0A3A">
        <w:t xml:space="preserve">sarebbe </w:t>
      </w:r>
      <w:r w:rsidR="002A260A" w:rsidRPr="00CE0A3A">
        <w:t>eterogeneo</w:t>
      </w:r>
      <w:r w:rsidR="004126E1" w:rsidRPr="00CE0A3A">
        <w:t>.</w:t>
      </w:r>
    </w:p>
    <w:p w14:paraId="5907FAF1" w14:textId="77777777" w:rsidR="00734714" w:rsidRPr="00CE0A3A" w:rsidRDefault="00734714" w:rsidP="00734714">
      <w:pPr>
        <w:spacing w:after="0" w:line="240" w:lineRule="auto"/>
        <w:contextualSpacing/>
      </w:pPr>
    </w:p>
    <w:p w14:paraId="17FA1D41" w14:textId="4333D782" w:rsidR="009D6924" w:rsidRPr="00CE0A3A" w:rsidRDefault="006F5464" w:rsidP="00734714">
      <w:pPr>
        <w:spacing w:after="0" w:line="240" w:lineRule="auto"/>
        <w:contextualSpacing/>
      </w:pPr>
      <w:r w:rsidRPr="007C3A7B">
        <w:rPr>
          <w:u w:val="single"/>
        </w:rPr>
        <w:t>Opportunità nei giacimenti e nel mid-stream</w:t>
      </w:r>
      <w:r>
        <w:rPr>
          <w:u w:val="single"/>
        </w:rPr>
        <w:br/>
      </w:r>
      <w:r w:rsidR="00105C12" w:rsidRPr="00CE0A3A">
        <w:t>La configurazione</w:t>
      </w:r>
      <w:r w:rsidR="008F290A">
        <w:t xml:space="preserve"> favorevole a</w:t>
      </w:r>
      <w:r w:rsidR="00105C12" w:rsidRPr="00CE0A3A">
        <w:t xml:space="preserve"> un ciclo rialzista è evidente e ci spinge a considerare l'aggiunta di posizioni caratterizzate da fondamentali favorevoli e valore relativo.</w:t>
      </w:r>
      <w:r w:rsidR="009D6924" w:rsidRPr="00CE0A3A">
        <w:t xml:space="preserve"> </w:t>
      </w:r>
      <w:r w:rsidR="00F45591" w:rsidRPr="00CE0A3A">
        <w:t xml:space="preserve">Se il contesto economico globale dovesse </w:t>
      </w:r>
      <w:r w:rsidR="008F290A">
        <w:t>divenire</w:t>
      </w:r>
      <w:r w:rsidR="00F45591" w:rsidRPr="00CE0A3A">
        <w:t xml:space="preserve"> recessivo, </w:t>
      </w:r>
      <w:r w:rsidR="008F290A">
        <w:t>so</w:t>
      </w:r>
      <w:r w:rsidR="00F45591" w:rsidRPr="00CE0A3A">
        <w:t xml:space="preserve">spingendo i prezzi del petrolio al ribasso nel breve termine, potremmo aggiungere una certa esposizione </w:t>
      </w:r>
      <w:r w:rsidR="008F290A">
        <w:t>verso le</w:t>
      </w:r>
      <w:r w:rsidR="00F45591" w:rsidRPr="00CE0A3A">
        <w:t xml:space="preserve"> società in cui rileviamo un miglioramento del valore relativo</w:t>
      </w:r>
      <w:r w:rsidR="009D6924" w:rsidRPr="00CE0A3A">
        <w:t xml:space="preserve">. </w:t>
      </w:r>
      <w:r w:rsidR="00EC3F74">
        <w:t>Ecco quali:</w:t>
      </w:r>
    </w:p>
    <w:p w14:paraId="717C3ECB" w14:textId="2F6D2F08" w:rsidR="009D6924" w:rsidRDefault="00BF7132" w:rsidP="00734714">
      <w:pPr>
        <w:spacing w:after="0" w:line="240" w:lineRule="auto"/>
        <w:contextualSpacing/>
      </w:pPr>
      <w:r w:rsidRPr="00CE0A3A">
        <w:rPr>
          <w:b/>
          <w:bCs/>
        </w:rPr>
        <w:lastRenderedPageBreak/>
        <w:t>Servizi per giacimenti petroliferi</w:t>
      </w:r>
      <w:r w:rsidR="00EC3F74" w:rsidRPr="007C3A7B">
        <w:t>. F</w:t>
      </w:r>
      <w:r w:rsidR="00862F22" w:rsidRPr="00CE0A3A">
        <w:t>ornitura di servizi e attrezzature ai produttori di petrolio e gas</w:t>
      </w:r>
      <w:r w:rsidR="00F87123">
        <w:t xml:space="preserve">: stiamo </w:t>
      </w:r>
      <w:r w:rsidR="00862F22" w:rsidRPr="00CE0A3A">
        <w:t xml:space="preserve">probabilmente </w:t>
      </w:r>
      <w:r w:rsidR="00F87123">
        <w:t>parlando</w:t>
      </w:r>
      <w:r w:rsidR="00862F22" w:rsidRPr="00CE0A3A">
        <w:t xml:space="preserve"> </w:t>
      </w:r>
      <w:r w:rsidR="00F87123">
        <w:t>de</w:t>
      </w:r>
      <w:r w:rsidR="00862F22" w:rsidRPr="00CE0A3A">
        <w:t xml:space="preserve">i </w:t>
      </w:r>
      <w:r w:rsidR="0025143B">
        <w:t xml:space="preserve">più grandi </w:t>
      </w:r>
      <w:r w:rsidR="00862F22" w:rsidRPr="00CE0A3A">
        <w:t xml:space="preserve">vincitori all'inizio del ciclo. A fronte del calo della produttività, i rispettivi prodotti e tecnologie diventeranno fondamentali per il mantenimento della produzione. In presenza di prezzi e attività più </w:t>
      </w:r>
      <w:r w:rsidR="0025143B">
        <w:t>consistenti</w:t>
      </w:r>
      <w:r w:rsidR="00862F22" w:rsidRPr="00CE0A3A">
        <w:t>, dovrebbero beneficiare di un incremento della domanda</w:t>
      </w:r>
      <w:r w:rsidR="009D6924" w:rsidRPr="00CE0A3A">
        <w:t>.</w:t>
      </w:r>
    </w:p>
    <w:p w14:paraId="144BE189" w14:textId="77777777" w:rsidR="00734714" w:rsidRPr="00CE0A3A" w:rsidRDefault="00734714" w:rsidP="00734714">
      <w:pPr>
        <w:spacing w:after="0" w:line="240" w:lineRule="auto"/>
        <w:contextualSpacing/>
      </w:pPr>
    </w:p>
    <w:p w14:paraId="72F2F3DC" w14:textId="6AD82A41" w:rsidR="007E06C3" w:rsidRDefault="009D6924" w:rsidP="00734714">
      <w:pPr>
        <w:spacing w:after="0" w:line="240" w:lineRule="auto"/>
        <w:contextualSpacing/>
      </w:pPr>
      <w:r w:rsidRPr="00CE0A3A">
        <w:rPr>
          <w:b/>
          <w:bCs/>
        </w:rPr>
        <w:t>E&amp;P</w:t>
      </w:r>
      <w:r w:rsidR="009622FE" w:rsidRPr="00CE0A3A">
        <w:rPr>
          <w:b/>
          <w:bCs/>
        </w:rPr>
        <w:t xml:space="preserve"> indipendenti</w:t>
      </w:r>
      <w:r w:rsidR="00EC3F74">
        <w:t xml:space="preserve">. </w:t>
      </w:r>
      <w:r w:rsidR="00A930DD" w:rsidRPr="00CE0A3A">
        <w:t>Produ</w:t>
      </w:r>
      <w:r w:rsidR="00EC3F74">
        <w:t>ttori,</w:t>
      </w:r>
      <w:r w:rsidR="00A930DD" w:rsidRPr="00CE0A3A">
        <w:t xml:space="preserve"> principalmente di petrolio e gas</w:t>
      </w:r>
      <w:r w:rsidR="00EC3F74">
        <w:t>,</w:t>
      </w:r>
      <w:r w:rsidR="00A930DD" w:rsidRPr="00CE0A3A">
        <w:t xml:space="preserve"> dalle loro proprietà</w:t>
      </w:r>
      <w:r w:rsidR="0025143B">
        <w:t>:</w:t>
      </w:r>
      <w:r w:rsidR="00A930DD" w:rsidRPr="00CE0A3A">
        <w:t xml:space="preserve"> probabilmente saranno i beneficiari più diretti dell'aumento dei prezzi delle materie prime. Questo sotto</w:t>
      </w:r>
      <w:r w:rsidR="00EC3F74">
        <w:t>-</w:t>
      </w:r>
      <w:r w:rsidR="00A930DD" w:rsidRPr="00CE0A3A">
        <w:t>comparto potrebbe anche aumentare le spese in conto capitale, erodendo potenzialmente la qualità del credito.</w:t>
      </w:r>
    </w:p>
    <w:p w14:paraId="39591206" w14:textId="77777777" w:rsidR="00734714" w:rsidRPr="00CE0A3A" w:rsidRDefault="00734714" w:rsidP="00734714">
      <w:pPr>
        <w:spacing w:after="0" w:line="240" w:lineRule="auto"/>
        <w:contextualSpacing/>
      </w:pPr>
    </w:p>
    <w:p w14:paraId="31C87A45" w14:textId="772825DA" w:rsidR="006B0325" w:rsidRDefault="009D6924" w:rsidP="00734714">
      <w:pPr>
        <w:spacing w:after="0" w:line="240" w:lineRule="auto"/>
        <w:contextualSpacing/>
      </w:pPr>
      <w:proofErr w:type="spellStart"/>
      <w:r w:rsidRPr="00CE0A3A">
        <w:rPr>
          <w:b/>
          <w:bCs/>
        </w:rPr>
        <w:t>Midstream</w:t>
      </w:r>
      <w:proofErr w:type="spellEnd"/>
      <w:r w:rsidR="00EC3F74" w:rsidRPr="007C3A7B">
        <w:t>.</w:t>
      </w:r>
      <w:r w:rsidR="00EC3F74">
        <w:t xml:space="preserve"> Tutte le a</w:t>
      </w:r>
      <w:r w:rsidR="00305F89" w:rsidRPr="00CE0A3A">
        <w:t>ttività che trattano gli idrocarburi dalla fonte e</w:t>
      </w:r>
      <w:r w:rsidR="00EC3F74">
        <w:t xml:space="preserve"> per</w:t>
      </w:r>
      <w:r w:rsidR="00305F89" w:rsidRPr="00CE0A3A">
        <w:t xml:space="preserve"> trasporta</w:t>
      </w:r>
      <w:r w:rsidR="00EC3F74">
        <w:t>rli</w:t>
      </w:r>
      <w:r w:rsidR="00305F89" w:rsidRPr="00CE0A3A">
        <w:t xml:space="preserve"> più a valle</w:t>
      </w:r>
      <w:r w:rsidR="00EC3F74">
        <w:t>:</w:t>
      </w:r>
      <w:r w:rsidR="00305F89" w:rsidRPr="00CE0A3A">
        <w:t xml:space="preserve"> </w:t>
      </w:r>
      <w:r w:rsidR="003F53E7" w:rsidRPr="00CE0A3A">
        <w:t>anche in questo caso è presente</w:t>
      </w:r>
      <w:r w:rsidR="00305F89" w:rsidRPr="00CE0A3A">
        <w:t xml:space="preserve"> un margine di rialzo, sebbene il beneficio derivante dall'aumento dei prezzi delle materie prime sia di gran lunga inferiore a quello de</w:t>
      </w:r>
      <w:r w:rsidR="003F53E7" w:rsidRPr="00CE0A3A">
        <w:t>l comparto</w:t>
      </w:r>
      <w:r w:rsidRPr="00CE0A3A">
        <w:t>.</w:t>
      </w:r>
    </w:p>
    <w:p w14:paraId="302FFA37" w14:textId="77777777" w:rsidR="00734714" w:rsidRPr="00CE0A3A" w:rsidRDefault="00734714" w:rsidP="00734714">
      <w:pPr>
        <w:spacing w:after="0" w:line="240" w:lineRule="auto"/>
        <w:contextualSpacing/>
      </w:pPr>
    </w:p>
    <w:p w14:paraId="6C47583F" w14:textId="4612664B" w:rsidR="00041F92" w:rsidRDefault="000E1A73" w:rsidP="00734714">
      <w:pPr>
        <w:spacing w:after="0" w:line="240" w:lineRule="auto"/>
        <w:contextualSpacing/>
      </w:pPr>
      <w:r w:rsidRPr="00CE0A3A">
        <w:rPr>
          <w:b/>
          <w:bCs/>
        </w:rPr>
        <w:t>Aziende energetiche integrate</w:t>
      </w:r>
      <w:r w:rsidR="00EC3F74">
        <w:t xml:space="preserve">. </w:t>
      </w:r>
      <w:r w:rsidR="00041F92" w:rsidRPr="00CE0A3A">
        <w:t>Queste società globali nei comparti petrolifero e del gas sono integrate verticalmente. Beneficiano direttamente dell'aumento dei prezzi delle materie prime, ma una parte del guadagno è diluita a causa della loro esposizione alle attività a valle, come raffinazione e prodotti petrolchimici.</w:t>
      </w:r>
    </w:p>
    <w:p w14:paraId="580A4B27" w14:textId="77777777" w:rsidR="00734714" w:rsidRPr="00CE0A3A" w:rsidRDefault="00734714" w:rsidP="00734714">
      <w:pPr>
        <w:spacing w:after="0" w:line="240" w:lineRule="auto"/>
        <w:contextualSpacing/>
      </w:pPr>
    </w:p>
    <w:p w14:paraId="496B1145" w14:textId="7F85DBB5" w:rsidR="005D5F6A" w:rsidRPr="00CE0A3A" w:rsidRDefault="00041F92" w:rsidP="00734714">
      <w:pPr>
        <w:spacing w:after="0" w:line="240" w:lineRule="auto"/>
        <w:contextualSpacing/>
      </w:pPr>
      <w:r w:rsidRPr="00CE0A3A">
        <w:rPr>
          <w:b/>
          <w:bCs/>
        </w:rPr>
        <w:t>Società di raffinazione</w:t>
      </w:r>
      <w:r w:rsidR="00EC3F74" w:rsidRPr="007C3A7B">
        <w:t>.</w:t>
      </w:r>
      <w:r w:rsidR="00EC3F74">
        <w:t xml:space="preserve"> </w:t>
      </w:r>
      <w:r w:rsidR="004914C8" w:rsidRPr="00CE0A3A">
        <w:t>Raffinazione del petrolio greggio</w:t>
      </w:r>
      <w:r w:rsidR="00A26628">
        <w:t xml:space="preserve">, </w:t>
      </w:r>
      <w:r w:rsidR="00EC3F74">
        <w:t>per trasformarlo</w:t>
      </w:r>
      <w:r w:rsidR="004914C8" w:rsidRPr="00CE0A3A">
        <w:t xml:space="preserve"> in benzina e altri prodotti. A nostro avviso, a livello settoriale, appaiono meno convincenti. I prezzi più elevati di petrolio e gas </w:t>
      </w:r>
      <w:r w:rsidR="00A26628">
        <w:t>comportano</w:t>
      </w:r>
      <w:r w:rsidR="004914C8" w:rsidRPr="00CE0A3A">
        <w:t xml:space="preserve"> un </w:t>
      </w:r>
      <w:r w:rsidR="00A26628">
        <w:t>incremento</w:t>
      </w:r>
      <w:r w:rsidR="004914C8" w:rsidRPr="00CE0A3A">
        <w:t xml:space="preserve"> dei costi di input, il che si traduce in una riduzione dei margini.</w:t>
      </w:r>
    </w:p>
    <w:sectPr w:rsidR="005D5F6A" w:rsidRPr="00CE0A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924"/>
    <w:rsid w:val="00041F92"/>
    <w:rsid w:val="000502DF"/>
    <w:rsid w:val="00065885"/>
    <w:rsid w:val="00094690"/>
    <w:rsid w:val="000E1A73"/>
    <w:rsid w:val="00105C12"/>
    <w:rsid w:val="00142EFD"/>
    <w:rsid w:val="00171903"/>
    <w:rsid w:val="00177ADA"/>
    <w:rsid w:val="00196CA2"/>
    <w:rsid w:val="00197D7E"/>
    <w:rsid w:val="001D5397"/>
    <w:rsid w:val="00200356"/>
    <w:rsid w:val="0025143B"/>
    <w:rsid w:val="00263C5B"/>
    <w:rsid w:val="002A260A"/>
    <w:rsid w:val="002B403F"/>
    <w:rsid w:val="002B6590"/>
    <w:rsid w:val="002C3DF3"/>
    <w:rsid w:val="0030453E"/>
    <w:rsid w:val="00304F99"/>
    <w:rsid w:val="00305F89"/>
    <w:rsid w:val="0033160C"/>
    <w:rsid w:val="0033653F"/>
    <w:rsid w:val="00366E1A"/>
    <w:rsid w:val="003B3504"/>
    <w:rsid w:val="003D7EA1"/>
    <w:rsid w:val="003E29A3"/>
    <w:rsid w:val="003F367C"/>
    <w:rsid w:val="003F5094"/>
    <w:rsid w:val="003F53E7"/>
    <w:rsid w:val="00406AD3"/>
    <w:rsid w:val="004126E1"/>
    <w:rsid w:val="004461D4"/>
    <w:rsid w:val="004744FC"/>
    <w:rsid w:val="004914C8"/>
    <w:rsid w:val="004C1C85"/>
    <w:rsid w:val="004C22D1"/>
    <w:rsid w:val="004E28CD"/>
    <w:rsid w:val="0052160B"/>
    <w:rsid w:val="00524F9E"/>
    <w:rsid w:val="00530F19"/>
    <w:rsid w:val="00560312"/>
    <w:rsid w:val="005628F0"/>
    <w:rsid w:val="00596E37"/>
    <w:rsid w:val="00597DCE"/>
    <w:rsid w:val="005A469E"/>
    <w:rsid w:val="005B09C1"/>
    <w:rsid w:val="005D5F6A"/>
    <w:rsid w:val="00600795"/>
    <w:rsid w:val="00614135"/>
    <w:rsid w:val="006449D7"/>
    <w:rsid w:val="006B0325"/>
    <w:rsid w:val="006C2E33"/>
    <w:rsid w:val="006C6269"/>
    <w:rsid w:val="006E258C"/>
    <w:rsid w:val="006F2797"/>
    <w:rsid w:val="006F5464"/>
    <w:rsid w:val="007055F9"/>
    <w:rsid w:val="00734714"/>
    <w:rsid w:val="00741328"/>
    <w:rsid w:val="007A3089"/>
    <w:rsid w:val="007A6BC4"/>
    <w:rsid w:val="007A71D1"/>
    <w:rsid w:val="007B14E1"/>
    <w:rsid w:val="007B5CEE"/>
    <w:rsid w:val="007C3A7B"/>
    <w:rsid w:val="007E011A"/>
    <w:rsid w:val="007E06C3"/>
    <w:rsid w:val="00822410"/>
    <w:rsid w:val="00825330"/>
    <w:rsid w:val="00857F04"/>
    <w:rsid w:val="00862F22"/>
    <w:rsid w:val="008744E1"/>
    <w:rsid w:val="008A1539"/>
    <w:rsid w:val="008B742C"/>
    <w:rsid w:val="008E1F5F"/>
    <w:rsid w:val="008E6F4D"/>
    <w:rsid w:val="008F290A"/>
    <w:rsid w:val="009303C1"/>
    <w:rsid w:val="0095752C"/>
    <w:rsid w:val="009622FE"/>
    <w:rsid w:val="009A638E"/>
    <w:rsid w:val="009B7FA7"/>
    <w:rsid w:val="009D2307"/>
    <w:rsid w:val="009D6924"/>
    <w:rsid w:val="009E2D56"/>
    <w:rsid w:val="00A02B3A"/>
    <w:rsid w:val="00A15D9E"/>
    <w:rsid w:val="00A26628"/>
    <w:rsid w:val="00A31B0C"/>
    <w:rsid w:val="00A54333"/>
    <w:rsid w:val="00A72A1C"/>
    <w:rsid w:val="00A930DD"/>
    <w:rsid w:val="00AA2B29"/>
    <w:rsid w:val="00AA6A2E"/>
    <w:rsid w:val="00AC2BA3"/>
    <w:rsid w:val="00AF2724"/>
    <w:rsid w:val="00B06E8F"/>
    <w:rsid w:val="00B4663C"/>
    <w:rsid w:val="00B80963"/>
    <w:rsid w:val="00B82E6B"/>
    <w:rsid w:val="00BB2262"/>
    <w:rsid w:val="00BF7132"/>
    <w:rsid w:val="00C22600"/>
    <w:rsid w:val="00C37BFE"/>
    <w:rsid w:val="00C51BC2"/>
    <w:rsid w:val="00C95415"/>
    <w:rsid w:val="00CB1CF4"/>
    <w:rsid w:val="00CB1D53"/>
    <w:rsid w:val="00CC60A3"/>
    <w:rsid w:val="00CD28E0"/>
    <w:rsid w:val="00CE0A3A"/>
    <w:rsid w:val="00CF7631"/>
    <w:rsid w:val="00DC4161"/>
    <w:rsid w:val="00E56D50"/>
    <w:rsid w:val="00EC38D0"/>
    <w:rsid w:val="00EC3F74"/>
    <w:rsid w:val="00EF387C"/>
    <w:rsid w:val="00F06BE7"/>
    <w:rsid w:val="00F425A3"/>
    <w:rsid w:val="00F45591"/>
    <w:rsid w:val="00F6719C"/>
    <w:rsid w:val="00F87123"/>
    <w:rsid w:val="00F9691D"/>
    <w:rsid w:val="00FE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024F7"/>
  <w15:chartTrackingRefBased/>
  <w15:docId w15:val="{8B759877-E1F7-49BB-85B5-93801E7E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D6924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Cambria" w:eastAsia="Cambria" w:hAnsi="Cambria" w:cs="Cambria"/>
      <w:kern w:val="0"/>
      <w:sz w:val="36"/>
      <w:szCs w:val="36"/>
      <w:lang w:val="en-US" w:eastAsia="en-US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D6924"/>
    <w:rPr>
      <w:rFonts w:ascii="Cambria" w:eastAsia="Cambria" w:hAnsi="Cambria" w:cs="Cambria"/>
      <w:kern w:val="0"/>
      <w:sz w:val="36"/>
      <w:szCs w:val="36"/>
      <w:lang w:val="en-US" w:eastAsia="en-US"/>
      <w14:ligatures w14:val="none"/>
    </w:rPr>
  </w:style>
  <w:style w:type="paragraph" w:styleId="Revisione">
    <w:name w:val="Revision"/>
    <w:hidden/>
    <w:uiPriority w:val="99"/>
    <w:semiHidden/>
    <w:rsid w:val="006B03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</dc:creator>
  <cp:keywords/>
  <dc:description/>
  <cp:lastModifiedBy>Diana Ferla</cp:lastModifiedBy>
  <cp:revision>4</cp:revision>
  <dcterms:created xsi:type="dcterms:W3CDTF">2024-02-14T15:45:00Z</dcterms:created>
  <dcterms:modified xsi:type="dcterms:W3CDTF">2024-02-27T08:37:00Z</dcterms:modified>
</cp:coreProperties>
</file>