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54C6" w14:textId="77777777" w:rsidR="000F7249" w:rsidRDefault="000F7249" w:rsidP="00DC0933">
      <w:pPr>
        <w:spacing w:after="0" w:line="240" w:lineRule="auto"/>
        <w:contextualSpacing/>
        <w:jc w:val="center"/>
        <w:rPr>
          <w:bCs/>
          <w:sz w:val="28"/>
          <w:szCs w:val="28"/>
          <w:lang w:val="it-IT"/>
        </w:rPr>
      </w:pPr>
    </w:p>
    <w:p w14:paraId="50E5444D" w14:textId="7D3EE8B5" w:rsidR="000F7249" w:rsidRDefault="000F7249" w:rsidP="00DC0933">
      <w:pPr>
        <w:spacing w:after="0" w:line="240" w:lineRule="auto"/>
        <w:contextualSpacing/>
        <w:jc w:val="center"/>
        <w:rPr>
          <w:bCs/>
          <w:sz w:val="28"/>
          <w:szCs w:val="28"/>
          <w:lang w:val="it-IT"/>
        </w:rPr>
      </w:pPr>
      <w:r w:rsidRPr="00493EC4">
        <w:rPr>
          <w:bCs/>
          <w:sz w:val="28"/>
          <w:szCs w:val="28"/>
          <w:lang w:val="it-IT"/>
        </w:rPr>
        <w:t xml:space="preserve">COMUNICATO STAMPA </w:t>
      </w:r>
    </w:p>
    <w:p w14:paraId="067A17BE" w14:textId="77777777" w:rsidR="000F7249" w:rsidRPr="00493EC4" w:rsidRDefault="000F7249" w:rsidP="00DC0933">
      <w:pPr>
        <w:spacing w:after="0" w:line="240" w:lineRule="auto"/>
        <w:contextualSpacing/>
        <w:rPr>
          <w:rFonts w:cstheme="minorHAnsi"/>
          <w:bCs/>
          <w:sz w:val="28"/>
          <w:szCs w:val="28"/>
          <w:lang w:val="it-IT"/>
        </w:rPr>
      </w:pPr>
    </w:p>
    <w:p w14:paraId="63C62B6B" w14:textId="77777777" w:rsidR="00D21100" w:rsidRDefault="00795C30" w:rsidP="00DC0933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 xml:space="preserve">L’offerta di </w:t>
      </w:r>
      <w:r w:rsidR="00DC0933" w:rsidRPr="00DC0933">
        <w:rPr>
          <w:rFonts w:cstheme="minorHAnsi"/>
          <w:b/>
          <w:sz w:val="28"/>
          <w:szCs w:val="28"/>
          <w:lang w:val="it-IT"/>
        </w:rPr>
        <w:t xml:space="preserve">Amchor IS </w:t>
      </w:r>
      <w:r>
        <w:rPr>
          <w:rFonts w:cstheme="minorHAnsi"/>
          <w:b/>
          <w:sz w:val="28"/>
          <w:szCs w:val="28"/>
          <w:lang w:val="it-IT"/>
        </w:rPr>
        <w:t xml:space="preserve">si apre ai fondi </w:t>
      </w:r>
      <w:proofErr w:type="spellStart"/>
      <w:r>
        <w:rPr>
          <w:rFonts w:cstheme="minorHAnsi"/>
          <w:b/>
          <w:sz w:val="28"/>
          <w:szCs w:val="28"/>
          <w:lang w:val="it-IT"/>
        </w:rPr>
        <w:t>real</w:t>
      </w:r>
      <w:proofErr w:type="spellEnd"/>
      <w:r>
        <w:rPr>
          <w:rFonts w:cstheme="minorHAnsi"/>
          <w:b/>
          <w:sz w:val="28"/>
          <w:szCs w:val="28"/>
          <w:lang w:val="it-IT"/>
        </w:rPr>
        <w:t xml:space="preserve"> asset </w:t>
      </w:r>
      <w:r w:rsidR="00D21100">
        <w:rPr>
          <w:rFonts w:cstheme="minorHAnsi"/>
          <w:b/>
          <w:sz w:val="28"/>
          <w:szCs w:val="28"/>
          <w:lang w:val="it-IT"/>
        </w:rPr>
        <w:t xml:space="preserve">quotati </w:t>
      </w:r>
    </w:p>
    <w:p w14:paraId="14ED785E" w14:textId="76638A86" w:rsidR="000F7249" w:rsidRPr="00DC0933" w:rsidRDefault="00795C30" w:rsidP="00DC0933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 xml:space="preserve">grazie alla partnership con </w:t>
      </w:r>
      <w:proofErr w:type="spellStart"/>
      <w:r w:rsidR="00DC0933" w:rsidRPr="00DC0933">
        <w:rPr>
          <w:rFonts w:cstheme="minorHAnsi"/>
          <w:b/>
          <w:sz w:val="28"/>
          <w:szCs w:val="28"/>
          <w:lang w:val="it-IT"/>
        </w:rPr>
        <w:t>Brookfield</w:t>
      </w:r>
      <w:proofErr w:type="spellEnd"/>
      <w:r w:rsidR="00DC0933" w:rsidRPr="00DC0933">
        <w:rPr>
          <w:rFonts w:cstheme="minorHAnsi"/>
          <w:b/>
          <w:sz w:val="28"/>
          <w:szCs w:val="28"/>
          <w:lang w:val="it-IT"/>
        </w:rPr>
        <w:t xml:space="preserve"> </w:t>
      </w:r>
    </w:p>
    <w:p w14:paraId="4B4F44B1" w14:textId="77777777" w:rsidR="00DC0933" w:rsidRDefault="00DC0933" w:rsidP="00DC0933">
      <w:pPr>
        <w:pStyle w:val="Paragrafoelenco"/>
        <w:jc w:val="both"/>
        <w:rPr>
          <w:rFonts w:asciiTheme="minorHAnsi" w:hAnsiTheme="minorHAnsi" w:cstheme="minorHAnsi"/>
          <w:i/>
          <w:iCs/>
          <w:color w:val="auto"/>
          <w:szCs w:val="22"/>
          <w:lang w:val="it-IT"/>
        </w:rPr>
      </w:pPr>
    </w:p>
    <w:p w14:paraId="4ED01064" w14:textId="4BB07397" w:rsidR="000F7249" w:rsidRPr="000F7249" w:rsidRDefault="000F7249" w:rsidP="00DC093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  <w:lang w:val="it-IT"/>
        </w:rPr>
      </w:pPr>
      <w:r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L</w:t>
      </w:r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'accordo di rappresentanza include le strategie quotate di </w:t>
      </w:r>
      <w:proofErr w:type="spellStart"/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Brookfield</w:t>
      </w:r>
      <w:proofErr w:type="spellEnd"/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 Public Securities Group per le energie rinnovabili e gli asset reali, offerte attraverso </w:t>
      </w:r>
      <w:proofErr w:type="spellStart"/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Brookfield</w:t>
      </w:r>
      <w:proofErr w:type="spellEnd"/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 Oaktree </w:t>
      </w:r>
      <w:proofErr w:type="spellStart"/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Wealth</w:t>
      </w:r>
      <w:proofErr w:type="spellEnd"/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 Solutions</w:t>
      </w:r>
    </w:p>
    <w:p w14:paraId="04DEB150" w14:textId="7A10B036" w:rsidR="000F7249" w:rsidRDefault="000F7249" w:rsidP="00DC093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  <w:lang w:val="it-IT"/>
        </w:rPr>
      </w:pPr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Con questa partnership A</w:t>
      </w:r>
      <w:r w:rsidR="00DC0933"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mchor</w:t>
      </w:r>
      <w:r w:rsidR="00DC0933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 IS</w:t>
      </w:r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 rafforza il suo impegno a rappresentare gestori specializzati con una comprovata esperienza globale</w:t>
      </w:r>
    </w:p>
    <w:p w14:paraId="0D6C32F2" w14:textId="1ECD0A04" w:rsidR="000F7249" w:rsidRPr="000F7249" w:rsidRDefault="000F7249" w:rsidP="00DC0933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Cs w:val="22"/>
          <w:lang w:val="it-IT"/>
        </w:rPr>
      </w:pPr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Ad oggi, </w:t>
      </w:r>
      <w:proofErr w:type="spellStart"/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A</w:t>
      </w:r>
      <w:r w:rsidR="00DC0933"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mchor</w:t>
      </w:r>
      <w:proofErr w:type="spellEnd"/>
      <w:r w:rsidR="00DC0933"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 </w:t>
      </w:r>
      <w:r w:rsidR="00DC0933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IS </w:t>
      </w:r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conta 3</w:t>
      </w:r>
      <w:r w:rsidR="0099255E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>5</w:t>
      </w:r>
      <w:r w:rsidRPr="000F7249">
        <w:rPr>
          <w:rFonts w:asciiTheme="minorHAnsi" w:hAnsiTheme="minorHAnsi" w:cstheme="minorHAnsi"/>
          <w:i/>
          <w:iCs/>
          <w:color w:val="auto"/>
          <w:szCs w:val="22"/>
          <w:lang w:val="it-IT"/>
        </w:rPr>
        <w:t xml:space="preserve"> dipendenti e 5 miliardi di euro di patrimonio gestito o rappresentato</w:t>
      </w:r>
    </w:p>
    <w:p w14:paraId="3148F8F8" w14:textId="77777777" w:rsidR="000F7249" w:rsidRPr="000F7249" w:rsidRDefault="000F7249" w:rsidP="00DC0933">
      <w:pPr>
        <w:spacing w:after="0" w:line="240" w:lineRule="auto"/>
        <w:contextualSpacing/>
        <w:jc w:val="right"/>
        <w:rPr>
          <w:rFonts w:ascii="Calibri" w:eastAsia="Calibri" w:hAnsi="Calibri" w:cs="Calibri"/>
          <w:kern w:val="0"/>
          <w:sz w:val="20"/>
          <w:szCs w:val="20"/>
          <w:lang w:val="it-IT"/>
          <w14:ligatures w14:val="none"/>
        </w:rPr>
      </w:pPr>
    </w:p>
    <w:p w14:paraId="57840215" w14:textId="45055F6A" w:rsidR="000F7249" w:rsidRPr="000F7249" w:rsidRDefault="000F7249" w:rsidP="00DC0933">
      <w:pPr>
        <w:spacing w:after="0" w:line="240" w:lineRule="auto"/>
        <w:contextualSpacing/>
        <w:jc w:val="right"/>
        <w:rPr>
          <w:rFonts w:ascii="Calibri" w:eastAsia="Calibri" w:hAnsi="Calibri" w:cs="Calibri"/>
          <w:kern w:val="0"/>
          <w:sz w:val="20"/>
          <w:szCs w:val="20"/>
          <w:lang w:val="it-IT"/>
          <w14:ligatures w14:val="none"/>
        </w:rPr>
      </w:pPr>
      <w:r w:rsidRPr="00531220">
        <w:rPr>
          <w:rFonts w:ascii="Calibri" w:eastAsia="Calibri" w:hAnsi="Calibri" w:cs="Calibri"/>
          <w:kern w:val="0"/>
          <w:sz w:val="20"/>
          <w:szCs w:val="20"/>
          <w:lang w:val="it-IT"/>
          <w14:ligatures w14:val="none"/>
        </w:rPr>
        <w:t>Milano, 28 febbraio 2024</w:t>
      </w:r>
    </w:p>
    <w:p w14:paraId="7E50BE1C" w14:textId="77777777" w:rsidR="000F7249" w:rsidRPr="000F7249" w:rsidRDefault="000F7249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</w:pPr>
    </w:p>
    <w:p w14:paraId="21E22235" w14:textId="2051B714" w:rsidR="000F7249" w:rsidRDefault="000F7249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  <w:r w:rsidRPr="000F7249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A</w:t>
      </w:r>
      <w:r w:rsidR="00DC0933" w:rsidRPr="000F7249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mchor</w:t>
      </w:r>
      <w:r w:rsidRPr="000F7249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 xml:space="preserve"> Investment Strategies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- società di gestione spagnola indipendente specializzata nell’identificazione e selezione di gestori internazionali di comprovato talento </w:t>
      </w:r>
      <w:r w:rsidRPr="00DE4ED7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e nella strutturazione e gestione di prodotti d'investimento </w:t>
      </w:r>
      <w:r w:rsidR="00DE4ED7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alternativi</w:t>
      </w:r>
      <w:r w:rsidR="0099255E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</w:t>
      </w:r>
      <w:r w:rsidRPr="00DE4ED7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– </w:t>
      </w:r>
      <w:r w:rsidRPr="00DE4ED7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 xml:space="preserve">annuncia la stipula di un accordo con </w:t>
      </w:r>
      <w:proofErr w:type="spellStart"/>
      <w:r w:rsidRPr="00DE4ED7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Brookfield</w:t>
      </w:r>
      <w:proofErr w:type="spellEnd"/>
      <w:r w:rsidRPr="00DE4ED7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 xml:space="preserve"> Public Securities Group per rappresentare il suo portafoglio UCITS</w:t>
      </w:r>
      <w:r w:rsidRPr="00DE4ED7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, compresi i suoi fondi quotati focalizzati su infrastr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utture, </w:t>
      </w:r>
      <w:proofErr w:type="spellStart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real</w:t>
      </w:r>
      <w:proofErr w:type="spellEnd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estate e energie rinnovabili, distribuiti attraverso </w:t>
      </w:r>
      <w:proofErr w:type="spellStart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Brookfield</w:t>
      </w:r>
      <w:proofErr w:type="spellEnd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Oaktree </w:t>
      </w:r>
      <w:proofErr w:type="spellStart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Wealth</w:t>
      </w:r>
      <w:proofErr w:type="spellEnd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Solutions.</w:t>
      </w:r>
    </w:p>
    <w:p w14:paraId="7FA732B1" w14:textId="77777777" w:rsidR="00DC0933" w:rsidRDefault="00DC0933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</w:p>
    <w:p w14:paraId="1D205A9C" w14:textId="17BDC01D" w:rsidR="000F7249" w:rsidRDefault="000F7249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  <w:proofErr w:type="spellStart"/>
      <w:r w:rsidRPr="00DC0933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Brookfield</w:t>
      </w:r>
      <w:proofErr w:type="spellEnd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vanta un’esperienza 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senza pari, con oltre 900 miliardi di dollari di asset in gestione, più di 2.000 professionisti d'investimento e una presenza in più di 30 Paesi </w:t>
      </w: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in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cinque continenti. </w:t>
      </w: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La società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offre agli investitori l'accesso a</w:t>
      </w: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i fondi UCITS </w:t>
      </w:r>
      <w:r w:rsidR="002B6F88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di </w:t>
      </w:r>
      <w:proofErr w:type="spellStart"/>
      <w:r w:rsidR="002B6F88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real</w:t>
      </w:r>
      <w:proofErr w:type="spellEnd"/>
      <w:r w:rsidR="002B6F88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asset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di </w:t>
      </w:r>
      <w:proofErr w:type="spellStart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Brookfield</w:t>
      </w:r>
      <w:proofErr w:type="spellEnd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Public Securities Group, che comprendono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real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estate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, infrastrutture, energie rinnovabili e </w:t>
      </w: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una 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soluzione diversificata.</w:t>
      </w:r>
    </w:p>
    <w:p w14:paraId="4CF7E8F9" w14:textId="57AEEACD" w:rsidR="00DC0933" w:rsidRDefault="0099255E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</w:t>
      </w:r>
    </w:p>
    <w:p w14:paraId="1EC765BC" w14:textId="20A918CF" w:rsidR="000F7249" w:rsidRDefault="000F7249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Fondata nel 2008, </w:t>
      </w:r>
      <w:r w:rsidRPr="00DC0933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A</w:t>
      </w:r>
      <w:r w:rsidR="00DC0933" w:rsidRPr="00DC0933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mchor</w:t>
      </w:r>
      <w:r w:rsidRPr="00DC0933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 xml:space="preserve"> IS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è specializzata nella strutturazione, gestione e rappresentanza di strategie di investimento in </w:t>
      </w:r>
      <w:r w:rsid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asset class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tradizionali e alternative. Presente a Madrid, Milano e Lisbona, A</w:t>
      </w:r>
      <w:r w:rsidR="00DC0933"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mchor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ha 35 dipendenti e gestisce 5 miliardi di euro di patrimonio in gestione o in rappresentanza attraverso più di 20 veicoli di investimento. </w:t>
      </w:r>
      <w:proofErr w:type="spellStart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Alantra</w:t>
      </w:r>
      <w:proofErr w:type="spellEnd"/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, società indipendente di servizi finanziari</w:t>
      </w:r>
      <w:r w:rsidR="007E488B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mid-market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, detiene una quota di minoranza significativa in A</w:t>
      </w:r>
      <w:r w:rsidR="00DC0933"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mchor</w:t>
      </w:r>
      <w:r w:rsidRPr="000F7249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.</w:t>
      </w:r>
    </w:p>
    <w:p w14:paraId="7DEA6337" w14:textId="77777777" w:rsidR="00DC0933" w:rsidRDefault="00DC0933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</w:p>
    <w:p w14:paraId="7740CABD" w14:textId="2C9BEAE6" w:rsidR="007C2900" w:rsidRDefault="007C2900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Attualmente, la Società rappresenta </w:t>
      </w:r>
      <w:r w:rsidR="0099255E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undici a</w:t>
      </w:r>
      <w:r w:rsidR="00EA7E42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sset manager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specializzat</w:t>
      </w:r>
      <w:r w:rsidR="00EA7E42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i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in </w:t>
      </w: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fondi UCITS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e distribuisce </w:t>
      </w:r>
      <w:r w:rsidR="007E488B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i fondi da loro offerti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agli investitori spagnoli, italiani e portoghesi. Le società rappresentate</w:t>
      </w:r>
      <w:r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</w:t>
      </w:r>
      <w:r w:rsidRPr="00EA7E42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in Italia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comprendono </w:t>
      </w:r>
      <w:proofErr w:type="spellStart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Aktia</w:t>
      </w:r>
      <w:proofErr w:type="spellEnd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, </w:t>
      </w:r>
      <w:proofErr w:type="spellStart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Brookfield</w:t>
      </w:r>
      <w:proofErr w:type="spellEnd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, Brown </w:t>
      </w:r>
      <w:proofErr w:type="spellStart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Advisory</w:t>
      </w:r>
      <w:proofErr w:type="spellEnd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, CQS, </w:t>
      </w:r>
      <w:proofErr w:type="spellStart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Fulcrum</w:t>
      </w:r>
      <w:proofErr w:type="spellEnd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Asset Management</w:t>
      </w:r>
      <w:r w:rsidR="004D50C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, </w:t>
      </w:r>
      <w:proofErr w:type="spellStart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Lonvia</w:t>
      </w:r>
      <w:proofErr w:type="spellEnd"/>
      <w:r w:rsidR="004D50C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e </w:t>
      </w:r>
      <w:proofErr w:type="spellStart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Mirae</w:t>
      </w:r>
      <w:proofErr w:type="spellEnd"/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Asset.</w:t>
      </w:r>
    </w:p>
    <w:p w14:paraId="5DBA0D27" w14:textId="77777777" w:rsidR="00DC0933" w:rsidRDefault="00DC0933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</w:p>
    <w:p w14:paraId="65B62D9D" w14:textId="7CAA9FDA" w:rsidR="007C2900" w:rsidRPr="007C2900" w:rsidRDefault="007C2900" w:rsidP="00DC0933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  <w:r w:rsidRPr="007C2900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Tasio del Castaño e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</w:t>
      </w:r>
      <w:r w:rsidRPr="007C2900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 xml:space="preserve">Alejandro Sarrate, soci cofondatori di </w:t>
      </w:r>
      <w:r w:rsidR="00DC0933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A</w:t>
      </w:r>
      <w:r w:rsidR="007A580B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mchor IS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, hanno dichiarato: "</w:t>
      </w:r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In qualità di </w:t>
      </w:r>
      <w:r w:rsidR="00AB6F18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società indipendente </w:t>
      </w:r>
      <w:r w:rsidR="00EA7E42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product </w:t>
      </w:r>
      <w:proofErr w:type="spellStart"/>
      <w:r w:rsidR="00EA7E42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specialist</w:t>
      </w:r>
      <w:proofErr w:type="spellEnd"/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, </w:t>
      </w:r>
      <w:proofErr w:type="spellStart"/>
      <w:r w:rsidR="00DC0933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Amchor</w:t>
      </w:r>
      <w:proofErr w:type="spellEnd"/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vanta una comprovata esperienza di 15 anni nella selezione e nella rappresentanza di gestori </w:t>
      </w:r>
      <w:r w:rsidR="00AB6F18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in grado</w:t>
      </w:r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di generare alfa </w:t>
      </w:r>
      <w:r w:rsidR="00AB6F18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in modo costante, nel corso dei vari</w:t>
      </w:r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cicli di mercato. Siamo </w:t>
      </w:r>
      <w:r w:rsidR="00AB6F18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lieti</w:t>
      </w:r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di annunciare l'aggiunta dei fondi</w:t>
      </w:r>
      <w:r w:rsidR="00AB6F18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UCITS di</w:t>
      </w:r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</w:t>
      </w:r>
      <w:proofErr w:type="spellStart"/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Brookfield</w:t>
      </w:r>
      <w:proofErr w:type="spellEnd"/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a</w:t>
      </w:r>
      <w:r w:rsidR="00AB6F18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gli asset che rappresentiamo</w:t>
      </w:r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, rendendoli accessibili agli investitori in </w:t>
      </w:r>
      <w:r w:rsid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Italia, </w:t>
      </w:r>
      <w:r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Spagna e Portogallo</w:t>
      </w:r>
      <w:r w:rsidRPr="007C2900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".</w:t>
      </w:r>
    </w:p>
    <w:p w14:paraId="529B00EE" w14:textId="77777777" w:rsidR="004D50CD" w:rsidRDefault="004D50CD" w:rsidP="00DC093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:lang w:val="it-IT"/>
          <w14:ligatures w14:val="none"/>
        </w:rPr>
      </w:pPr>
    </w:p>
    <w:p w14:paraId="576BAF7D" w14:textId="4C21B457" w:rsidR="009D2CDB" w:rsidRPr="009D2CDB" w:rsidRDefault="009D2CDB" w:rsidP="009D2CDB">
      <w:pPr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>
        <w:rPr>
          <w:rFonts w:ascii="Calibri" w:eastAsia="Calibri" w:hAnsi="Calibri" w:cs="Calibri"/>
          <w:b/>
          <w:bCs/>
          <w:kern w:val="0"/>
          <w:sz w:val="20"/>
          <w:szCs w:val="20"/>
          <w:lang w:val="it-IT"/>
          <w14:ligatures w14:val="none"/>
        </w:rPr>
        <w:t>Cristiano Busnardo</w:t>
      </w:r>
      <w:r w:rsidRPr="00493EC4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93EC4">
        <w:rPr>
          <w:rFonts w:eastAsia="Times New Roman" w:cstheme="minorHAnsi"/>
          <w:b/>
          <w:bCs/>
          <w:sz w:val="20"/>
          <w:szCs w:val="20"/>
          <w:lang w:val="it-IT"/>
        </w:rPr>
        <w:t>Country Head per l’Italia di A</w:t>
      </w:r>
      <w:r w:rsidR="007A580B" w:rsidRPr="00493EC4">
        <w:rPr>
          <w:rFonts w:eastAsia="Times New Roman" w:cstheme="minorHAnsi"/>
          <w:b/>
          <w:bCs/>
          <w:sz w:val="20"/>
          <w:szCs w:val="20"/>
          <w:lang w:val="it-IT"/>
        </w:rPr>
        <w:t>mchor</w:t>
      </w:r>
      <w:r w:rsidRPr="00493EC4">
        <w:rPr>
          <w:rFonts w:eastAsia="Times New Roman" w:cstheme="minorHAnsi"/>
          <w:b/>
          <w:bCs/>
          <w:sz w:val="20"/>
          <w:szCs w:val="20"/>
          <w:lang w:val="it-IT"/>
        </w:rPr>
        <w:t xml:space="preserve"> IS</w:t>
      </w:r>
      <w:r w:rsidRPr="00493EC4">
        <w:rPr>
          <w:rFonts w:eastAsia="Times New Roman" w:cstheme="minorHAnsi"/>
          <w:sz w:val="20"/>
          <w:szCs w:val="20"/>
          <w:lang w:val="it-IT"/>
        </w:rPr>
        <w:t xml:space="preserve">, </w:t>
      </w:r>
      <w:r>
        <w:rPr>
          <w:rFonts w:eastAsia="Times New Roman" w:cstheme="minorHAnsi"/>
          <w:sz w:val="20"/>
          <w:szCs w:val="20"/>
          <w:lang w:val="it-IT"/>
        </w:rPr>
        <w:t>ha dichiarato</w:t>
      </w:r>
      <w:r w:rsidRPr="00493EC4">
        <w:rPr>
          <w:rFonts w:eastAsia="Times New Roman" w:cstheme="minorHAnsi"/>
          <w:sz w:val="20"/>
          <w:szCs w:val="20"/>
          <w:lang w:val="it-IT"/>
        </w:rPr>
        <w:t>: “</w:t>
      </w:r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 xml:space="preserve">Grazie a </w:t>
      </w:r>
      <w:proofErr w:type="spellStart"/>
      <w:r w:rsidR="00F05A64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Brookfield</w:t>
      </w:r>
      <w:proofErr w:type="spellEnd"/>
      <w:r w:rsidR="00F05A64" w:rsidRPr="00DC0933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</w:t>
      </w:r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 xml:space="preserve">la gamma di strumenti che mettiamo a </w:t>
      </w:r>
      <w:r w:rsidR="00F05A64">
        <w:rPr>
          <w:rFonts w:eastAsia="Times New Roman" w:cstheme="minorHAnsi"/>
          <w:i/>
          <w:iCs/>
          <w:sz w:val="20"/>
          <w:szCs w:val="20"/>
          <w:lang w:val="it-IT"/>
        </w:rPr>
        <w:t>disposizione</w:t>
      </w:r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 xml:space="preserve"> degli </w:t>
      </w:r>
      <w:r w:rsidR="00F05A64">
        <w:rPr>
          <w:rFonts w:eastAsia="Times New Roman" w:cstheme="minorHAnsi"/>
          <w:i/>
          <w:iCs/>
          <w:sz w:val="20"/>
          <w:szCs w:val="20"/>
          <w:lang w:val="it-IT"/>
        </w:rPr>
        <w:t>investitori</w:t>
      </w:r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 xml:space="preserve"> italiani si va aprendo a un</w:t>
      </w:r>
      <w:r w:rsidR="004D50CD">
        <w:rPr>
          <w:rFonts w:eastAsia="Times New Roman" w:cstheme="minorHAnsi"/>
          <w:i/>
          <w:iCs/>
          <w:sz w:val="20"/>
          <w:szCs w:val="20"/>
          <w:lang w:val="it-IT"/>
        </w:rPr>
        <w:t>’</w:t>
      </w:r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 xml:space="preserve">ulteriore asset class, quella dei fondi </w:t>
      </w:r>
      <w:proofErr w:type="spellStart"/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>real</w:t>
      </w:r>
      <w:proofErr w:type="spellEnd"/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 xml:space="preserve"> estate </w:t>
      </w:r>
      <w:r w:rsidR="000E5EDF">
        <w:rPr>
          <w:rFonts w:eastAsia="Times New Roman" w:cstheme="minorHAnsi"/>
          <w:i/>
          <w:iCs/>
          <w:sz w:val="20"/>
          <w:szCs w:val="20"/>
          <w:lang w:val="it-IT"/>
        </w:rPr>
        <w:t xml:space="preserve">e </w:t>
      </w:r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>infrastrutturali, a f</w:t>
      </w:r>
      <w:r w:rsidR="00795C30">
        <w:rPr>
          <w:rFonts w:eastAsia="Times New Roman" w:cstheme="minorHAnsi"/>
          <w:i/>
          <w:iCs/>
          <w:sz w:val="20"/>
          <w:szCs w:val="20"/>
          <w:lang w:val="it-IT"/>
        </w:rPr>
        <w:t>r</w:t>
      </w:r>
      <w:r w:rsidR="00531220">
        <w:rPr>
          <w:rFonts w:eastAsia="Times New Roman" w:cstheme="minorHAnsi"/>
          <w:i/>
          <w:iCs/>
          <w:sz w:val="20"/>
          <w:szCs w:val="20"/>
          <w:lang w:val="it-IT"/>
        </w:rPr>
        <w:t>onte di un crescente interesse da parte della clientela italiana</w:t>
      </w:r>
      <w:r>
        <w:rPr>
          <w:rFonts w:eastAsia="Times New Roman" w:cstheme="minorHAnsi"/>
          <w:i/>
          <w:iCs/>
          <w:sz w:val="20"/>
          <w:szCs w:val="20"/>
          <w:lang w:val="it-IT"/>
        </w:rPr>
        <w:t>”.</w:t>
      </w:r>
    </w:p>
    <w:p w14:paraId="7CA9B11F" w14:textId="44104D24" w:rsidR="004D50CD" w:rsidRDefault="00DC0933" w:rsidP="00DC093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:lang w:val="it-IT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0"/>
          <w:szCs w:val="20"/>
          <w:lang w:val="it-IT"/>
          <w14:ligatures w14:val="none"/>
        </w:rPr>
        <w:t>---</w:t>
      </w:r>
    </w:p>
    <w:p w14:paraId="26B4FDCD" w14:textId="50CA4338" w:rsidR="00AB6F18" w:rsidRPr="00AB6F18" w:rsidRDefault="00AB6F18" w:rsidP="00DC093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:lang w:val="it-IT"/>
          <w14:ligatures w14:val="none"/>
        </w:rPr>
      </w:pPr>
      <w:r w:rsidRPr="00AB6F18">
        <w:rPr>
          <w:rFonts w:ascii="Calibri" w:eastAsia="Calibri" w:hAnsi="Calibri" w:cs="Calibri"/>
          <w:b/>
          <w:bCs/>
          <w:kern w:val="0"/>
          <w:sz w:val="20"/>
          <w:szCs w:val="20"/>
          <w:lang w:val="it-IT"/>
          <w14:ligatures w14:val="none"/>
        </w:rPr>
        <w:t>AMCHOR INVESTMENT STRATEGIES</w:t>
      </w:r>
    </w:p>
    <w:p w14:paraId="3297361F" w14:textId="5C804424" w:rsidR="00AB6F18" w:rsidRPr="00DC0933" w:rsidRDefault="00AB6F18" w:rsidP="00DC0933">
      <w:pPr>
        <w:spacing w:after="0" w:line="240" w:lineRule="auto"/>
        <w:contextualSpacing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</w:pPr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>AMCHOR IS SGIIC è una società di asset management domiciliata in Spagna e specializzata nella gestione e rappresentanza in esclusiva di strategie di investimento in asset tradizionali e alternativi attraverso partnership con specialisti di livello internazionale, operativa in Spagna, Portogallo e Italia. La società, con</w:t>
      </w:r>
      <w:r w:rsidR="0099255E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35 dipendenti e</w:t>
      </w:r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circa 5 miliardi di euro di asset in gestione o rappresentanza, rappresenta in </w:t>
      </w:r>
      <w:r w:rsidRPr="000E5EDF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esclusiva </w:t>
      </w:r>
      <w:r w:rsidRPr="0099255E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>undici</w:t>
      </w:r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gestori UCITS. </w:t>
      </w:r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lastRenderedPageBreak/>
        <w:t xml:space="preserve">Inoltre, gestisce strumenti alternativi con alcuni dei migliori specialisti in risk capital, private </w:t>
      </w:r>
      <w:proofErr w:type="spellStart"/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>debt</w:t>
      </w:r>
      <w:proofErr w:type="spellEnd"/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e </w:t>
      </w:r>
      <w:proofErr w:type="spellStart"/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>real</w:t>
      </w:r>
      <w:proofErr w:type="spellEnd"/>
      <w:r w:rsidRPr="00DC0933">
        <w:rPr>
          <w:rFonts w:ascii="Calibri" w:eastAsia="Calibri" w:hAnsi="Calibri" w:cs="Calibri"/>
          <w:i/>
          <w:iCs/>
          <w:kern w:val="0"/>
          <w:sz w:val="20"/>
          <w:szCs w:val="20"/>
          <w:lang w:val="it-IT"/>
          <w14:ligatures w14:val="none"/>
        </w:rPr>
        <w:t xml:space="preserve"> asset. La società è stata fondata nel 2008 da Alejandro Sarrate and Tasio del Castaño.</w:t>
      </w:r>
    </w:p>
    <w:p w14:paraId="6E04165B" w14:textId="77777777" w:rsidR="00AB6F18" w:rsidRPr="00AB6F18" w:rsidRDefault="00AB6F18" w:rsidP="00DC0933">
      <w:p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  <w:lang w:val="it-IT"/>
          <w14:ligatures w14:val="none"/>
        </w:rPr>
      </w:pPr>
    </w:p>
    <w:p w14:paraId="34305E21" w14:textId="77777777" w:rsidR="00AB6F18" w:rsidRPr="00AB6F18" w:rsidRDefault="00AB6F18" w:rsidP="00DC0933">
      <w:p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es-ES_tradnl"/>
          <w14:ligatures w14:val="none"/>
        </w:rPr>
      </w:pPr>
    </w:p>
    <w:p w14:paraId="3E97EADC" w14:textId="77777777" w:rsidR="00AB6F18" w:rsidRPr="00AB6F18" w:rsidRDefault="00AB6F18" w:rsidP="00DC0933">
      <w:pPr>
        <w:spacing w:after="0" w:line="240" w:lineRule="auto"/>
        <w:ind w:right="781"/>
        <w:contextualSpacing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:lang w:val="es-ES_tradnl"/>
          <w14:ligatures w14:val="none"/>
        </w:rPr>
      </w:pPr>
      <w:r w:rsidRPr="00AB6F18">
        <w:rPr>
          <w:rFonts w:ascii="Calibri" w:eastAsia="Calibri" w:hAnsi="Calibri" w:cs="Calibri"/>
          <w:b/>
          <w:bCs/>
          <w:kern w:val="0"/>
          <w:sz w:val="20"/>
          <w:szCs w:val="20"/>
          <w:lang w:val="es-ES_tradnl"/>
          <w14:ligatures w14:val="none"/>
        </w:rPr>
        <w:t>Contatti stampa</w:t>
      </w:r>
    </w:p>
    <w:p w14:paraId="6519CFB6" w14:textId="77777777" w:rsidR="00AB6F18" w:rsidRPr="00AB6F18" w:rsidRDefault="00AB6F18" w:rsidP="00DC0933">
      <w:pPr>
        <w:spacing w:after="0" w:line="240" w:lineRule="auto"/>
        <w:ind w:right="781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es-ES_tradnl"/>
          <w14:ligatures w14:val="none"/>
        </w:rPr>
      </w:pPr>
      <w:r w:rsidRPr="00AB6F18">
        <w:rPr>
          <w:rFonts w:ascii="Calibri" w:eastAsia="Calibri" w:hAnsi="Calibri" w:cs="Calibri"/>
          <w:kern w:val="0"/>
          <w:sz w:val="20"/>
          <w:szCs w:val="20"/>
          <w:lang w:val="es-ES_tradnl"/>
          <w14:ligatures w14:val="none"/>
        </w:rPr>
        <w:t>Verini &amp; Associati</w:t>
      </w:r>
    </w:p>
    <w:p w14:paraId="2A42787F" w14:textId="0D7FE23E" w:rsidR="00AB6F18" w:rsidRPr="00AB6F18" w:rsidRDefault="00AB6F18" w:rsidP="00DC0933">
      <w:pPr>
        <w:spacing w:after="0" w:line="240" w:lineRule="auto"/>
        <w:contextualSpacing/>
        <w:rPr>
          <w:rFonts w:ascii="Calibri" w:eastAsia="Calibri" w:hAnsi="Calibri" w:cs="Calibri"/>
          <w:kern w:val="0"/>
          <w:sz w:val="20"/>
          <w:szCs w:val="20"/>
          <w:lang w:val="es-ES_tradnl"/>
          <w14:ligatures w14:val="none"/>
        </w:rPr>
      </w:pPr>
      <w:r w:rsidRPr="00AB6F18">
        <w:rPr>
          <w:rFonts w:ascii="Calibri" w:eastAsia="Calibri" w:hAnsi="Calibri" w:cs="Calibri"/>
          <w:kern w:val="0"/>
          <w:sz w:val="20"/>
          <w:szCs w:val="20"/>
          <w:lang w:val="es-ES_tradnl"/>
          <w14:ligatures w14:val="none"/>
        </w:rPr>
        <w:t xml:space="preserve">Mario Tino, Diana Ferla, Denise Bosotti, </w:t>
      </w:r>
      <w:r>
        <w:rPr>
          <w:rFonts w:ascii="Calibri" w:eastAsia="Calibri" w:hAnsi="Calibri" w:cs="Calibri"/>
          <w:kern w:val="0"/>
          <w:sz w:val="20"/>
          <w:szCs w:val="20"/>
          <w:lang w:val="es-ES_tradnl"/>
          <w14:ligatures w14:val="none"/>
        </w:rPr>
        <w:t>Massimo Morici</w:t>
      </w:r>
    </w:p>
    <w:p w14:paraId="531571E2" w14:textId="77777777" w:rsidR="00AB6F18" w:rsidRPr="00AB6F18" w:rsidRDefault="0099255E" w:rsidP="00DC0933">
      <w:pPr>
        <w:spacing w:after="0" w:line="240" w:lineRule="auto"/>
        <w:contextualSpacing/>
        <w:rPr>
          <w:rFonts w:ascii="Calibri" w:eastAsia="Calibri" w:hAnsi="Calibri" w:cs="Times New Roman"/>
          <w:kern w:val="0"/>
          <w:lang w:val="en-US"/>
          <w14:ligatures w14:val="none"/>
        </w:rPr>
      </w:pPr>
      <w:hyperlink r:id="rId8" w:history="1">
        <w:r w:rsidR="00AB6F18" w:rsidRPr="00AB6F18">
          <w:rPr>
            <w:rFonts w:ascii="Calibri" w:eastAsia="Calibri" w:hAnsi="Calibri" w:cs="Calibri"/>
            <w:color w:val="0563C1"/>
            <w:kern w:val="0"/>
            <w:sz w:val="20"/>
            <w:szCs w:val="20"/>
            <w:u w:val="single"/>
            <w:lang w:val="es-ES_tradnl"/>
            <w14:ligatures w14:val="none"/>
          </w:rPr>
          <w:t>amchor@verinieassociati.com</w:t>
        </w:r>
      </w:hyperlink>
      <w:r w:rsidR="00AB6F18" w:rsidRPr="00AB6F18">
        <w:rPr>
          <w:rFonts w:ascii="Calibri" w:eastAsia="Calibri" w:hAnsi="Calibri" w:cs="Calibri"/>
          <w:kern w:val="0"/>
          <w:sz w:val="20"/>
          <w:szCs w:val="20"/>
          <w:lang w:val="es-ES_tradnl"/>
          <w14:ligatures w14:val="none"/>
        </w:rPr>
        <w:t xml:space="preserve"> </w:t>
      </w:r>
    </w:p>
    <w:p w14:paraId="78BECB75" w14:textId="77777777" w:rsidR="00AB6F18" w:rsidRPr="00AB6F18" w:rsidRDefault="00AB6F18" w:rsidP="00DC0933">
      <w:pPr>
        <w:spacing w:after="0" w:line="240" w:lineRule="auto"/>
        <w:contextualSpacing/>
        <w:rPr>
          <w:rFonts w:ascii="Arial" w:eastAsia="Calibri" w:hAnsi="Arial" w:cs="Times New Roman"/>
          <w:color w:val="253568"/>
          <w:kern w:val="0"/>
          <w:szCs w:val="24"/>
          <w:lang w:val="en-US"/>
          <w14:ligatures w14:val="none"/>
        </w:rPr>
      </w:pPr>
    </w:p>
    <w:p w14:paraId="135A054C" w14:textId="77777777" w:rsidR="000F7249" w:rsidRPr="007E488B" w:rsidRDefault="000F7249" w:rsidP="00DC0933">
      <w:pPr>
        <w:spacing w:after="0" w:line="240" w:lineRule="auto"/>
        <w:contextualSpacing/>
        <w:jc w:val="right"/>
        <w:rPr>
          <w:rFonts w:cstheme="minorHAnsi"/>
          <w:color w:val="FF0000"/>
          <w:sz w:val="20"/>
          <w:szCs w:val="20"/>
        </w:rPr>
      </w:pPr>
    </w:p>
    <w:sectPr w:rsidR="000F7249" w:rsidRPr="007E48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AB45" w14:textId="77777777" w:rsidR="00F62A0D" w:rsidRDefault="00F62A0D" w:rsidP="00A3025F">
      <w:pPr>
        <w:spacing w:after="0" w:line="240" w:lineRule="auto"/>
      </w:pPr>
      <w:r>
        <w:separator/>
      </w:r>
    </w:p>
  </w:endnote>
  <w:endnote w:type="continuationSeparator" w:id="0">
    <w:p w14:paraId="3667FC56" w14:textId="77777777" w:rsidR="00F62A0D" w:rsidRDefault="00F62A0D" w:rsidP="00A3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8FD" w14:textId="77777777" w:rsidR="00F62A0D" w:rsidRDefault="00F62A0D" w:rsidP="00A3025F">
      <w:pPr>
        <w:spacing w:after="0" w:line="240" w:lineRule="auto"/>
      </w:pPr>
      <w:r>
        <w:separator/>
      </w:r>
    </w:p>
  </w:footnote>
  <w:footnote w:type="continuationSeparator" w:id="0">
    <w:p w14:paraId="59E8C4AB" w14:textId="77777777" w:rsidR="00F62A0D" w:rsidRDefault="00F62A0D" w:rsidP="00A3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4F31" w14:textId="1E1E9956" w:rsidR="00A3025F" w:rsidRDefault="00A3025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99F61" wp14:editId="355B6C0C">
          <wp:simplePos x="0" y="0"/>
          <wp:positionH relativeFrom="column">
            <wp:posOffset>3710940</wp:posOffset>
          </wp:positionH>
          <wp:positionV relativeFrom="paragraph">
            <wp:posOffset>-182880</wp:posOffset>
          </wp:positionV>
          <wp:extent cx="1944370" cy="510540"/>
          <wp:effectExtent l="0" t="0" r="0" b="3810"/>
          <wp:wrapThrough wrapText="bothSides">
            <wp:wrapPolygon edited="0">
              <wp:start x="1693" y="806"/>
              <wp:lineTo x="847" y="10478"/>
              <wp:lineTo x="635" y="18537"/>
              <wp:lineTo x="11216" y="20955"/>
              <wp:lineTo x="12486" y="20955"/>
              <wp:lineTo x="13544" y="19343"/>
              <wp:lineTo x="14391" y="16925"/>
              <wp:lineTo x="20316" y="12896"/>
              <wp:lineTo x="20951" y="8866"/>
              <wp:lineTo x="19681" y="806"/>
              <wp:lineTo x="1693" y="806"/>
            </wp:wrapPolygon>
          </wp:wrapThrough>
          <wp:docPr id="1736421710" name="Picture 1" descr="AMCHOR Investment Strategies - FundsPeopl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HOR Investment Strategies - FundsPeople Españ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50" b="36000"/>
                  <a:stretch/>
                </pic:blipFill>
                <pic:spPr bwMode="auto">
                  <a:xfrm>
                    <a:off x="0" y="0"/>
                    <a:ext cx="194437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DA4"/>
    <w:multiLevelType w:val="multilevel"/>
    <w:tmpl w:val="019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95F75"/>
    <w:multiLevelType w:val="hybridMultilevel"/>
    <w:tmpl w:val="CA5478A8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3BF6"/>
    <w:multiLevelType w:val="multilevel"/>
    <w:tmpl w:val="097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75CB6"/>
    <w:multiLevelType w:val="hybridMultilevel"/>
    <w:tmpl w:val="1E3A1592"/>
    <w:lvl w:ilvl="0" w:tplc="ED5C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94293">
    <w:abstractNumId w:val="2"/>
  </w:num>
  <w:num w:numId="2" w16cid:durableId="1642808074">
    <w:abstractNumId w:val="1"/>
  </w:num>
  <w:num w:numId="3" w16cid:durableId="504173628">
    <w:abstractNumId w:val="0"/>
  </w:num>
  <w:num w:numId="4" w16cid:durableId="648247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5F"/>
    <w:rsid w:val="00005A43"/>
    <w:rsid w:val="00020261"/>
    <w:rsid w:val="0004017E"/>
    <w:rsid w:val="000453B3"/>
    <w:rsid w:val="000E5EDF"/>
    <w:rsid w:val="000F7249"/>
    <w:rsid w:val="00107406"/>
    <w:rsid w:val="001234EA"/>
    <w:rsid w:val="00175FFA"/>
    <w:rsid w:val="001817F2"/>
    <w:rsid w:val="00185BBF"/>
    <w:rsid w:val="00196B5B"/>
    <w:rsid w:val="001B60BF"/>
    <w:rsid w:val="001D059C"/>
    <w:rsid w:val="001E135E"/>
    <w:rsid w:val="001F26D9"/>
    <w:rsid w:val="001F7A2A"/>
    <w:rsid w:val="002238E4"/>
    <w:rsid w:val="00252DE5"/>
    <w:rsid w:val="00255241"/>
    <w:rsid w:val="0026157E"/>
    <w:rsid w:val="00282C9C"/>
    <w:rsid w:val="002B6F88"/>
    <w:rsid w:val="002C32EA"/>
    <w:rsid w:val="002E77F3"/>
    <w:rsid w:val="002F2C48"/>
    <w:rsid w:val="00351126"/>
    <w:rsid w:val="003C5BB9"/>
    <w:rsid w:val="003D399E"/>
    <w:rsid w:val="00430633"/>
    <w:rsid w:val="004A4CF3"/>
    <w:rsid w:val="004A6EDC"/>
    <w:rsid w:val="004B1806"/>
    <w:rsid w:val="004B755F"/>
    <w:rsid w:val="004D2370"/>
    <w:rsid w:val="004D50CD"/>
    <w:rsid w:val="005132C0"/>
    <w:rsid w:val="00517D49"/>
    <w:rsid w:val="00531220"/>
    <w:rsid w:val="00543C47"/>
    <w:rsid w:val="005479F8"/>
    <w:rsid w:val="00562E9C"/>
    <w:rsid w:val="005A2BB7"/>
    <w:rsid w:val="006051CB"/>
    <w:rsid w:val="006123A8"/>
    <w:rsid w:val="00664E40"/>
    <w:rsid w:val="00697A16"/>
    <w:rsid w:val="006C77FD"/>
    <w:rsid w:val="006D3251"/>
    <w:rsid w:val="006E0FF5"/>
    <w:rsid w:val="006F1BFD"/>
    <w:rsid w:val="00707F06"/>
    <w:rsid w:val="00716954"/>
    <w:rsid w:val="00724A38"/>
    <w:rsid w:val="00733924"/>
    <w:rsid w:val="00782D9A"/>
    <w:rsid w:val="0078516C"/>
    <w:rsid w:val="00791AA4"/>
    <w:rsid w:val="00793F43"/>
    <w:rsid w:val="007940D5"/>
    <w:rsid w:val="00794CF1"/>
    <w:rsid w:val="00795C30"/>
    <w:rsid w:val="007A22B7"/>
    <w:rsid w:val="007A580B"/>
    <w:rsid w:val="007B2747"/>
    <w:rsid w:val="007C2900"/>
    <w:rsid w:val="007C3F5D"/>
    <w:rsid w:val="007C5EBB"/>
    <w:rsid w:val="007D54C0"/>
    <w:rsid w:val="007E488B"/>
    <w:rsid w:val="008005AD"/>
    <w:rsid w:val="0086369E"/>
    <w:rsid w:val="00885C63"/>
    <w:rsid w:val="008953D5"/>
    <w:rsid w:val="00897327"/>
    <w:rsid w:val="008C416D"/>
    <w:rsid w:val="008E0D49"/>
    <w:rsid w:val="00962917"/>
    <w:rsid w:val="00965EAD"/>
    <w:rsid w:val="00975D84"/>
    <w:rsid w:val="0099255E"/>
    <w:rsid w:val="009A1CCD"/>
    <w:rsid w:val="009A6213"/>
    <w:rsid w:val="009B510F"/>
    <w:rsid w:val="009B7CE9"/>
    <w:rsid w:val="009D2CDB"/>
    <w:rsid w:val="009E1B93"/>
    <w:rsid w:val="00A3025F"/>
    <w:rsid w:val="00A346CE"/>
    <w:rsid w:val="00A41474"/>
    <w:rsid w:val="00AB6F18"/>
    <w:rsid w:val="00AB7F4C"/>
    <w:rsid w:val="00AD7836"/>
    <w:rsid w:val="00AE6F14"/>
    <w:rsid w:val="00AF389E"/>
    <w:rsid w:val="00B11324"/>
    <w:rsid w:val="00B22F9A"/>
    <w:rsid w:val="00B23508"/>
    <w:rsid w:val="00B57C73"/>
    <w:rsid w:val="00B6075C"/>
    <w:rsid w:val="00B81CE7"/>
    <w:rsid w:val="00BE15A5"/>
    <w:rsid w:val="00BE778E"/>
    <w:rsid w:val="00BF19C2"/>
    <w:rsid w:val="00C1016F"/>
    <w:rsid w:val="00C57D41"/>
    <w:rsid w:val="00C8210D"/>
    <w:rsid w:val="00C82951"/>
    <w:rsid w:val="00C955AD"/>
    <w:rsid w:val="00D02E63"/>
    <w:rsid w:val="00D079ED"/>
    <w:rsid w:val="00D21100"/>
    <w:rsid w:val="00D211B8"/>
    <w:rsid w:val="00D419F8"/>
    <w:rsid w:val="00D422FA"/>
    <w:rsid w:val="00D53D48"/>
    <w:rsid w:val="00D62C69"/>
    <w:rsid w:val="00D86380"/>
    <w:rsid w:val="00DC0933"/>
    <w:rsid w:val="00DC7BFA"/>
    <w:rsid w:val="00DE0753"/>
    <w:rsid w:val="00DE2081"/>
    <w:rsid w:val="00DE4ED7"/>
    <w:rsid w:val="00DF0544"/>
    <w:rsid w:val="00E05C54"/>
    <w:rsid w:val="00E37823"/>
    <w:rsid w:val="00E840EA"/>
    <w:rsid w:val="00E8575D"/>
    <w:rsid w:val="00EA7E42"/>
    <w:rsid w:val="00EC4F42"/>
    <w:rsid w:val="00EE2F71"/>
    <w:rsid w:val="00EF2421"/>
    <w:rsid w:val="00F05A64"/>
    <w:rsid w:val="00F106C2"/>
    <w:rsid w:val="00F34938"/>
    <w:rsid w:val="00F37E19"/>
    <w:rsid w:val="00F478E9"/>
    <w:rsid w:val="00F53944"/>
    <w:rsid w:val="00F62A0D"/>
    <w:rsid w:val="00F67422"/>
    <w:rsid w:val="00F766D7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6E1E7"/>
  <w15:chartTrackingRefBased/>
  <w15:docId w15:val="{70F6E0BE-E6D8-43BD-8A26-AF94D462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25F"/>
  </w:style>
  <w:style w:type="paragraph" w:styleId="Pidipagina">
    <w:name w:val="footer"/>
    <w:basedOn w:val="Normale"/>
    <w:link w:val="PidipaginaCarattere"/>
    <w:uiPriority w:val="99"/>
    <w:unhideWhenUsed/>
    <w:rsid w:val="00A3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25F"/>
  </w:style>
  <w:style w:type="paragraph" w:styleId="NormaleWeb">
    <w:name w:val="Normal (Web)"/>
    <w:basedOn w:val="Normale"/>
    <w:uiPriority w:val="99"/>
    <w:unhideWhenUsed/>
    <w:rsid w:val="00A3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nfasigrassetto">
    <w:name w:val="Strong"/>
    <w:basedOn w:val="Carpredefinitoparagrafo"/>
    <w:uiPriority w:val="22"/>
    <w:qFormat/>
    <w:rsid w:val="00A3025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025F"/>
    <w:rPr>
      <w:color w:val="0000FF"/>
      <w:u w:val="single"/>
    </w:rPr>
  </w:style>
  <w:style w:type="paragraph" w:styleId="Revisione">
    <w:name w:val="Revision"/>
    <w:hidden/>
    <w:uiPriority w:val="99"/>
    <w:semiHidden/>
    <w:rsid w:val="00F87D7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F7249"/>
    <w:pPr>
      <w:spacing w:after="0" w:line="240" w:lineRule="auto"/>
      <w:ind w:left="720"/>
      <w:contextualSpacing/>
    </w:pPr>
    <w:rPr>
      <w:rFonts w:ascii="Arial" w:hAnsi="Arial"/>
      <w:color w:val="253568"/>
      <w:kern w:val="0"/>
      <w:szCs w:val="24"/>
      <w:lang w:val="fr-FR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F1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E48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48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48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8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hor@verinieassocia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63C5-786C-4005-904A-9A2F2409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Mareen Steudel</dc:creator>
  <cp:keywords/>
  <dc:description/>
  <cp:lastModifiedBy>Massimo Morici</cp:lastModifiedBy>
  <cp:revision>2</cp:revision>
  <dcterms:created xsi:type="dcterms:W3CDTF">2024-02-28T10:37:00Z</dcterms:created>
  <dcterms:modified xsi:type="dcterms:W3CDTF">2024-02-28T10:37:00Z</dcterms:modified>
</cp:coreProperties>
</file>