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23F" w14:textId="3E6F29A7" w:rsidR="0077357C" w:rsidRPr="005D7FDB" w:rsidRDefault="005D7FDB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7FDB">
        <w:rPr>
          <w:rFonts w:ascii="Arial" w:hAnsi="Arial" w:cs="Arial"/>
          <w:b/>
          <w:bCs/>
          <w:sz w:val="24"/>
          <w:szCs w:val="24"/>
        </w:rPr>
        <w:t>Il nuovo Market Appeal Index di Immobiliare.it</w:t>
      </w:r>
    </w:p>
    <w:p w14:paraId="49FA6165" w14:textId="256ADD39" w:rsidR="0077357C" w:rsidRPr="005D7FDB" w:rsidRDefault="002547FB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47FB">
        <w:rPr>
          <w:rFonts w:ascii="Arial" w:hAnsi="Arial" w:cs="Arial"/>
          <w:b/>
          <w:bCs/>
          <w:sz w:val="28"/>
          <w:szCs w:val="28"/>
        </w:rPr>
        <w:t>Milano si conferma</w:t>
      </w:r>
      <w:r w:rsidR="005D7FDB" w:rsidRPr="002547FB">
        <w:rPr>
          <w:rFonts w:ascii="Arial" w:hAnsi="Arial" w:cs="Arial"/>
          <w:b/>
          <w:bCs/>
          <w:sz w:val="28"/>
          <w:szCs w:val="28"/>
        </w:rPr>
        <w:t xml:space="preserve"> la città più attrattiva d’Italia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2547FB">
        <w:rPr>
          <w:rFonts w:ascii="Arial" w:hAnsi="Arial" w:cs="Arial"/>
          <w:b/>
          <w:bCs/>
          <w:sz w:val="28"/>
          <w:szCs w:val="28"/>
        </w:rPr>
        <w:t xml:space="preserve">Tra </w:t>
      </w:r>
      <w:r>
        <w:rPr>
          <w:rFonts w:ascii="Arial" w:hAnsi="Arial" w:cs="Arial"/>
          <w:b/>
          <w:bCs/>
          <w:sz w:val="28"/>
          <w:szCs w:val="28"/>
        </w:rPr>
        <w:t xml:space="preserve">i capoluoghi più piccoli </w:t>
      </w:r>
      <w:r w:rsidRPr="002547FB">
        <w:rPr>
          <w:rFonts w:ascii="Arial" w:hAnsi="Arial" w:cs="Arial"/>
          <w:b/>
          <w:bCs/>
          <w:sz w:val="28"/>
          <w:szCs w:val="28"/>
        </w:rPr>
        <w:t xml:space="preserve">vince </w:t>
      </w:r>
      <w:r w:rsidR="0006558C">
        <w:rPr>
          <w:rFonts w:ascii="Arial" w:hAnsi="Arial" w:cs="Arial"/>
          <w:b/>
          <w:bCs/>
          <w:sz w:val="28"/>
          <w:szCs w:val="28"/>
        </w:rPr>
        <w:t xml:space="preserve">la vicina </w:t>
      </w:r>
      <w:r w:rsidRPr="002547FB">
        <w:rPr>
          <w:rFonts w:ascii="Arial" w:hAnsi="Arial" w:cs="Arial"/>
          <w:b/>
          <w:bCs/>
          <w:sz w:val="28"/>
          <w:szCs w:val="28"/>
        </w:rPr>
        <w:t>Bergamo</w:t>
      </w:r>
    </w:p>
    <w:p w14:paraId="2577369C" w14:textId="0A2355C6" w:rsidR="0077357C" w:rsidRDefault="0006558C" w:rsidP="0077357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prezzi alti portano Firenze all’ultimo posto tra le grandi città; in coda alla classifica dei capoluoghi </w:t>
      </w:r>
      <w:r w:rsidR="008A0164">
        <w:rPr>
          <w:rFonts w:ascii="Arial" w:hAnsi="Arial" w:cs="Arial"/>
          <w:b/>
          <w:bCs/>
          <w:i/>
          <w:iCs/>
          <w:sz w:val="24"/>
          <w:szCs w:val="24"/>
        </w:rPr>
        <w:t>si trovano Sicilia, Calabria e Sardegna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976CD1F" w14:textId="77777777" w:rsidR="0077357C" w:rsidRDefault="0077357C" w:rsidP="0077357C">
      <w:pPr>
        <w:rPr>
          <w:rFonts w:ascii="Arial" w:hAnsi="Arial" w:cs="Arial"/>
        </w:rPr>
      </w:pPr>
    </w:p>
    <w:p w14:paraId="5A067185" w14:textId="5A045DAB" w:rsidR="00C1148F" w:rsidRDefault="0077357C" w:rsidP="00C1148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</w:t>
      </w:r>
      <w:r w:rsidR="0027769E">
        <w:rPr>
          <w:rFonts w:ascii="Arial" w:hAnsi="Arial" w:cs="Arial"/>
          <w:b/>
          <w:bCs/>
        </w:rPr>
        <w:t>febbraio</w:t>
      </w:r>
      <w:r w:rsidR="00C1148F">
        <w:rPr>
          <w:rFonts w:ascii="Arial" w:hAnsi="Arial" w:cs="Arial"/>
          <w:b/>
          <w:bCs/>
        </w:rPr>
        <w:t xml:space="preserve"> 2024</w:t>
      </w:r>
      <w:r>
        <w:rPr>
          <w:rFonts w:ascii="Arial" w:hAnsi="Arial" w:cs="Arial"/>
          <w:b/>
          <w:bCs/>
        </w:rPr>
        <w:t xml:space="preserve"> – </w:t>
      </w:r>
      <w:r w:rsidR="0027769E" w:rsidRPr="0027769E">
        <w:rPr>
          <w:rFonts w:ascii="Arial" w:hAnsi="Arial" w:cs="Arial"/>
        </w:rPr>
        <w:t xml:space="preserve">Sono due città lombarde, </w:t>
      </w:r>
      <w:r w:rsidR="0027769E" w:rsidRPr="0027769E">
        <w:rPr>
          <w:rFonts w:ascii="Arial" w:hAnsi="Arial" w:cs="Arial"/>
          <w:b/>
          <w:bCs/>
        </w:rPr>
        <w:t>Milano e Bergamo</w:t>
      </w:r>
      <w:r w:rsidR="0027769E" w:rsidRPr="0027769E">
        <w:rPr>
          <w:rFonts w:ascii="Arial" w:hAnsi="Arial" w:cs="Arial"/>
        </w:rPr>
        <w:t xml:space="preserve">, a primeggiare </w:t>
      </w:r>
      <w:r w:rsidR="00C1148F">
        <w:rPr>
          <w:rFonts w:ascii="Arial" w:hAnsi="Arial" w:cs="Arial"/>
        </w:rPr>
        <w:t xml:space="preserve">nel nuovo </w:t>
      </w:r>
      <w:r w:rsidR="00C1148F" w:rsidRPr="00C1148F">
        <w:rPr>
          <w:rFonts w:ascii="Arial" w:hAnsi="Arial" w:cs="Arial"/>
          <w:b/>
          <w:bCs/>
        </w:rPr>
        <w:t>Market Appeal Index</w:t>
      </w:r>
      <w:r w:rsidR="00C1148F">
        <w:rPr>
          <w:rFonts w:ascii="Arial" w:hAnsi="Arial" w:cs="Arial"/>
        </w:rPr>
        <w:t xml:space="preserve"> </w:t>
      </w:r>
      <w:r w:rsidR="00C1148F" w:rsidRPr="00C1148F">
        <w:rPr>
          <w:rFonts w:ascii="Arial" w:hAnsi="Arial" w:cs="Arial"/>
        </w:rPr>
        <w:t xml:space="preserve">elaborato </w:t>
      </w:r>
      <w:r w:rsidR="00C1148F">
        <w:rPr>
          <w:rFonts w:ascii="Arial" w:hAnsi="Arial" w:cs="Arial"/>
        </w:rPr>
        <w:t xml:space="preserve">da </w:t>
      </w:r>
      <w:r w:rsidR="00C1148F" w:rsidRPr="00E92482">
        <w:rPr>
          <w:rFonts w:ascii="Arial" w:hAnsi="Arial" w:cs="Arial"/>
          <w:b/>
          <w:bCs/>
        </w:rPr>
        <w:t>Immobiliare.it Insights</w:t>
      </w:r>
      <w:r w:rsidR="00C1148F">
        <w:rPr>
          <w:rFonts w:ascii="Arial" w:hAnsi="Arial" w:cs="Arial"/>
        </w:rPr>
        <w:t xml:space="preserve">, </w:t>
      </w:r>
      <w:r w:rsidR="00C1148F" w:rsidRPr="000D7772">
        <w:rPr>
          <w:rFonts w:ascii="Arial" w:hAnsi="Arial" w:cs="Arial"/>
        </w:rPr>
        <w:t xml:space="preserve">società del gruppo di </w:t>
      </w:r>
      <w:hyperlink r:id="rId6" w:history="1">
        <w:r w:rsidR="00C1148F" w:rsidRPr="00F83BBE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 w:rsidR="00C1148F" w:rsidRPr="000D7772">
        <w:rPr>
          <w:rFonts w:ascii="Arial" w:hAnsi="Arial" w:cs="Arial"/>
        </w:rPr>
        <w:t>, il portale immobiliare leader in Italia, specializzata in big data e market intelligence per il settore immobiliare</w:t>
      </w:r>
      <w:r w:rsidR="0006558C">
        <w:rPr>
          <w:rFonts w:ascii="Arial" w:hAnsi="Arial" w:cs="Arial"/>
        </w:rPr>
        <w:t xml:space="preserve">. L’indice fornisce per la prima volta l’appetibilità dei mercati immobiliari, in due diverse classifiche dedicate alle </w:t>
      </w:r>
      <w:r w:rsidR="0006558C" w:rsidRPr="0006558C">
        <w:rPr>
          <w:rFonts w:ascii="Arial" w:hAnsi="Arial" w:cs="Arial"/>
          <w:b/>
          <w:bCs/>
        </w:rPr>
        <w:t>12 Grandi Città</w:t>
      </w:r>
      <w:r w:rsidR="0006558C">
        <w:rPr>
          <w:rFonts w:ascii="Arial" w:hAnsi="Arial" w:cs="Arial"/>
        </w:rPr>
        <w:t xml:space="preserve"> e a </w:t>
      </w:r>
      <w:r w:rsidR="0006558C" w:rsidRPr="0006558C">
        <w:rPr>
          <w:rFonts w:ascii="Arial" w:hAnsi="Arial" w:cs="Arial"/>
          <w:b/>
          <w:bCs/>
        </w:rPr>
        <w:t>tutti gli altri capoluoghi di provincia</w:t>
      </w:r>
      <w:r w:rsidR="0006558C">
        <w:rPr>
          <w:rFonts w:ascii="Arial" w:hAnsi="Arial" w:cs="Arial"/>
        </w:rPr>
        <w:t xml:space="preserve">. </w:t>
      </w:r>
    </w:p>
    <w:p w14:paraId="28F3523B" w14:textId="4FC65BA0" w:rsidR="0027769E" w:rsidRDefault="00373623" w:rsidP="00C11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tratta di un indice</w:t>
      </w:r>
      <w:r w:rsidR="00E063B7" w:rsidRPr="00E063B7">
        <w:rPr>
          <w:rFonts w:ascii="Arial" w:hAnsi="Arial" w:cs="Arial"/>
        </w:rPr>
        <w:t xml:space="preserve"> che esprime</w:t>
      </w:r>
      <w:r w:rsidR="0006558C">
        <w:rPr>
          <w:rFonts w:ascii="Arial" w:hAnsi="Arial" w:cs="Arial"/>
        </w:rPr>
        <w:t xml:space="preserve"> un punteggio di </w:t>
      </w:r>
      <w:r w:rsidR="00E063B7" w:rsidRPr="00B74684">
        <w:rPr>
          <w:rFonts w:ascii="Arial" w:hAnsi="Arial" w:cs="Arial"/>
          <w:b/>
          <w:bCs/>
        </w:rPr>
        <w:t>attrattività del mercato immobiliare</w:t>
      </w:r>
      <w:r w:rsidR="0006558C">
        <w:rPr>
          <w:rFonts w:ascii="Arial" w:hAnsi="Arial" w:cs="Arial"/>
          <w:b/>
          <w:bCs/>
        </w:rPr>
        <w:t xml:space="preserve"> da 1 a 100</w:t>
      </w:r>
      <w:r w:rsidR="00E063B7" w:rsidRPr="00E063B7">
        <w:rPr>
          <w:rFonts w:ascii="Arial" w:hAnsi="Arial" w:cs="Arial"/>
        </w:rPr>
        <w:t xml:space="preserve"> attraverso i volumi di offerta, le ricerche e i contatti ricevuti per gli annunci, ordinando </w:t>
      </w:r>
      <w:r>
        <w:rPr>
          <w:rFonts w:ascii="Arial" w:hAnsi="Arial" w:cs="Arial"/>
        </w:rPr>
        <w:t xml:space="preserve">tutti </w:t>
      </w:r>
      <w:r w:rsidR="00E063B7" w:rsidRPr="00E063B7">
        <w:rPr>
          <w:rFonts w:ascii="Arial" w:hAnsi="Arial" w:cs="Arial"/>
        </w:rPr>
        <w:t>i capoluoghi di provincia dal mercato più attrattivo a quello meno attrattivo</w:t>
      </w:r>
      <w:r>
        <w:rPr>
          <w:rFonts w:ascii="Arial" w:hAnsi="Arial" w:cs="Arial"/>
        </w:rPr>
        <w:t xml:space="preserve">. </w:t>
      </w:r>
    </w:p>
    <w:p w14:paraId="7511C6EA" w14:textId="76DE8D0C" w:rsidR="005E38C3" w:rsidRDefault="005E38C3" w:rsidP="005E38C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«Abbiamo voluto introdurre questo nuovo Indice che, grazie ai dati esclusivi del portale e al lavoro dei nostri Data Analyst, offre una visione d’insieme dell’attrattività del mercato immobiliare di ogni singolo capoluogo in Italia, permettendo così di operare un confronto in modo semplice e immediato – </w:t>
      </w:r>
      <w:r w:rsidRPr="00CB10D7">
        <w:rPr>
          <w:rFonts w:ascii="Arial" w:hAnsi="Arial" w:cs="Arial"/>
        </w:rPr>
        <w:t xml:space="preserve">commenta </w:t>
      </w:r>
      <w:r w:rsidRPr="007D3CDC">
        <w:rPr>
          <w:rFonts w:ascii="Arial" w:hAnsi="Arial" w:cs="Arial"/>
          <w:b/>
          <w:bCs/>
        </w:rPr>
        <w:t xml:space="preserve">Antonio Intini, </w:t>
      </w:r>
      <w:proofErr w:type="spellStart"/>
      <w:r w:rsidRPr="007D3CDC">
        <w:rPr>
          <w:rFonts w:ascii="Arial" w:hAnsi="Arial" w:cs="Arial"/>
          <w:b/>
          <w:bCs/>
        </w:rPr>
        <w:t>Chief</w:t>
      </w:r>
      <w:proofErr w:type="spellEnd"/>
      <w:r w:rsidRPr="007D3CDC">
        <w:rPr>
          <w:rFonts w:ascii="Arial" w:hAnsi="Arial" w:cs="Arial"/>
          <w:b/>
          <w:bCs/>
        </w:rPr>
        <w:t xml:space="preserve"> Business Development </w:t>
      </w:r>
      <w:proofErr w:type="spellStart"/>
      <w:r w:rsidRPr="007D3CDC">
        <w:rPr>
          <w:rFonts w:ascii="Arial" w:hAnsi="Arial" w:cs="Arial"/>
          <w:b/>
          <w:bCs/>
        </w:rPr>
        <w:t>Officer</w:t>
      </w:r>
      <w:proofErr w:type="spellEnd"/>
      <w:r w:rsidRPr="007D3CDC">
        <w:rPr>
          <w:rFonts w:ascii="Arial" w:hAnsi="Arial" w:cs="Arial"/>
          <w:b/>
          <w:bCs/>
        </w:rPr>
        <w:t xml:space="preserve"> di Immobiliare.it</w:t>
      </w:r>
      <w:r>
        <w:rPr>
          <w:rFonts w:ascii="Arial" w:hAnsi="Arial" w:cs="Arial"/>
          <w:i/>
          <w:iCs/>
        </w:rPr>
        <w:t xml:space="preserve"> – Il nostro è un impegno costante per fornire a tutti i nostri stakeholder strumenti sempre nuovi che, grazie al massiccio investimento dell’azienda nelle tecnologie più avanzate di raccolta e</w:t>
      </w:r>
      <w:r w:rsidR="0006558C"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</w:rPr>
        <w:t xml:space="preserve"> elaborazione dei dati, permettano di leggere la realtà immobiliare del nostro Paese in modo accurato e approfondito».</w:t>
      </w:r>
    </w:p>
    <w:p w14:paraId="66FC7469" w14:textId="485C089E" w:rsidR="0027769E" w:rsidRDefault="0006558C" w:rsidP="00C114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Market Appeal Index delle</w:t>
      </w:r>
      <w:r w:rsidR="0027769E" w:rsidRPr="0027769E">
        <w:rPr>
          <w:rFonts w:ascii="Arial" w:hAnsi="Arial" w:cs="Arial"/>
          <w:b/>
          <w:bCs/>
        </w:rPr>
        <w:t xml:space="preserve"> Grandi Città</w:t>
      </w:r>
    </w:p>
    <w:p w14:paraId="111603EB" w14:textId="1DBE9CB3" w:rsidR="0027769E" w:rsidRDefault="001A4028" w:rsidP="00C11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riguarda le principali città della penisola, che si distinguono per un mercato immobiliare sicuramente più vivace e di maggiori dimensioni, la più attrattiva si conferma essere </w:t>
      </w:r>
      <w:r w:rsidRPr="00B57B24">
        <w:rPr>
          <w:rFonts w:ascii="Arial" w:hAnsi="Arial" w:cs="Arial"/>
          <w:b/>
          <w:bCs/>
        </w:rPr>
        <w:t>Milano</w:t>
      </w:r>
      <w:r w:rsidR="00B57B24">
        <w:rPr>
          <w:rFonts w:ascii="Arial" w:hAnsi="Arial" w:cs="Arial"/>
          <w:b/>
          <w:bCs/>
        </w:rPr>
        <w:t xml:space="preserve"> (</w:t>
      </w:r>
      <w:r w:rsidR="0006558C">
        <w:rPr>
          <w:rFonts w:ascii="Arial" w:hAnsi="Arial" w:cs="Arial"/>
          <w:b/>
          <w:bCs/>
        </w:rPr>
        <w:t xml:space="preserve">punteggio </w:t>
      </w:r>
      <w:r w:rsidR="00B57B24">
        <w:rPr>
          <w:rFonts w:ascii="Arial" w:hAnsi="Arial" w:cs="Arial"/>
          <w:b/>
          <w:bCs/>
        </w:rPr>
        <w:t>100</w:t>
      </w:r>
      <w:r w:rsidR="0006558C">
        <w:rPr>
          <w:rFonts w:ascii="Arial" w:hAnsi="Arial" w:cs="Arial"/>
          <w:b/>
          <w:bCs/>
        </w:rPr>
        <w:t>/100</w:t>
      </w:r>
      <w:r w:rsidR="00B57B24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, principale polo economico del Paese e centro che offre numerose opportunità di studio e lavoro. Segue, a distanza, con un punteggio di 83,3, </w:t>
      </w:r>
      <w:r w:rsidR="0006558C">
        <w:rPr>
          <w:rFonts w:ascii="Arial" w:hAnsi="Arial" w:cs="Arial"/>
          <w:b/>
          <w:bCs/>
        </w:rPr>
        <w:t>Roma</w:t>
      </w:r>
      <w:r>
        <w:rPr>
          <w:rFonts w:ascii="Arial" w:hAnsi="Arial" w:cs="Arial"/>
        </w:rPr>
        <w:t xml:space="preserve">. In terza posizione, a parimerito con 75 punti, </w:t>
      </w:r>
      <w:r w:rsidRPr="00B57B24">
        <w:rPr>
          <w:rFonts w:ascii="Arial" w:hAnsi="Arial" w:cs="Arial"/>
          <w:b/>
          <w:bCs/>
        </w:rPr>
        <w:t xml:space="preserve">Torino </w:t>
      </w:r>
      <w:r>
        <w:rPr>
          <w:rFonts w:ascii="Arial" w:hAnsi="Arial" w:cs="Arial"/>
        </w:rPr>
        <w:t xml:space="preserve">e </w:t>
      </w:r>
      <w:r w:rsidRPr="00B57B24">
        <w:rPr>
          <w:rFonts w:ascii="Arial" w:hAnsi="Arial" w:cs="Arial"/>
          <w:b/>
          <w:bCs/>
        </w:rPr>
        <w:t>Bologna</w:t>
      </w:r>
      <w:r>
        <w:rPr>
          <w:rFonts w:ascii="Arial" w:hAnsi="Arial" w:cs="Arial"/>
        </w:rPr>
        <w:t xml:space="preserve">. </w:t>
      </w:r>
      <w:r w:rsidR="00132091">
        <w:rPr>
          <w:rFonts w:ascii="Arial" w:hAnsi="Arial" w:cs="Arial"/>
        </w:rPr>
        <w:t xml:space="preserve">A sorpresa, al quinto posto si trova </w:t>
      </w:r>
      <w:r w:rsidR="00132091" w:rsidRPr="00B57B24">
        <w:rPr>
          <w:rFonts w:ascii="Arial" w:hAnsi="Arial" w:cs="Arial"/>
          <w:b/>
          <w:bCs/>
        </w:rPr>
        <w:t>Bari</w:t>
      </w:r>
      <w:r w:rsidR="00132091">
        <w:rPr>
          <w:rFonts w:ascii="Arial" w:hAnsi="Arial" w:cs="Arial"/>
        </w:rPr>
        <w:t xml:space="preserve"> (58,3), prima città del Sud Italia e una di quelle che sta crescendo più rapidamente. </w:t>
      </w:r>
      <w:r w:rsidR="00132091" w:rsidRPr="00B57B24">
        <w:rPr>
          <w:rFonts w:ascii="Arial" w:hAnsi="Arial" w:cs="Arial"/>
          <w:b/>
          <w:bCs/>
        </w:rPr>
        <w:t>Verona</w:t>
      </w:r>
      <w:r w:rsidR="00132091">
        <w:rPr>
          <w:rFonts w:ascii="Arial" w:hAnsi="Arial" w:cs="Arial"/>
        </w:rPr>
        <w:t xml:space="preserve"> e </w:t>
      </w:r>
      <w:r w:rsidR="00132091" w:rsidRPr="00B57B24">
        <w:rPr>
          <w:rFonts w:ascii="Arial" w:hAnsi="Arial" w:cs="Arial"/>
          <w:b/>
          <w:bCs/>
        </w:rPr>
        <w:t>Genova</w:t>
      </w:r>
      <w:r w:rsidR="00132091">
        <w:rPr>
          <w:rFonts w:ascii="Arial" w:hAnsi="Arial" w:cs="Arial"/>
        </w:rPr>
        <w:t>, entrambe con un punteggio di 52,8, occupano il sesto e settimo posto.</w:t>
      </w:r>
    </w:p>
    <w:p w14:paraId="0D0CC6A0" w14:textId="348E508D" w:rsidR="002547FB" w:rsidRDefault="00132091" w:rsidP="00254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parte bassa della classifica, dopo Venezia (38,9), compaiono le altre tre importanti città del Meridione, ovvero </w:t>
      </w:r>
      <w:r w:rsidRPr="00132091">
        <w:rPr>
          <w:rFonts w:ascii="Arial" w:hAnsi="Arial" w:cs="Arial"/>
          <w:b/>
          <w:bCs/>
        </w:rPr>
        <w:t xml:space="preserve">Napoli </w:t>
      </w:r>
      <w:r>
        <w:rPr>
          <w:rFonts w:ascii="Arial" w:hAnsi="Arial" w:cs="Arial"/>
        </w:rPr>
        <w:t xml:space="preserve">(33,3), </w:t>
      </w:r>
      <w:r w:rsidRPr="00132091">
        <w:rPr>
          <w:rFonts w:ascii="Arial" w:hAnsi="Arial" w:cs="Arial"/>
          <w:b/>
          <w:bCs/>
        </w:rPr>
        <w:t>Catania</w:t>
      </w:r>
      <w:r>
        <w:rPr>
          <w:rFonts w:ascii="Arial" w:hAnsi="Arial" w:cs="Arial"/>
        </w:rPr>
        <w:t xml:space="preserve"> (27,8), e </w:t>
      </w:r>
      <w:r w:rsidRPr="00132091">
        <w:rPr>
          <w:rFonts w:ascii="Arial" w:hAnsi="Arial" w:cs="Arial"/>
          <w:b/>
          <w:bCs/>
        </w:rPr>
        <w:t>Palermo</w:t>
      </w:r>
      <w:r>
        <w:rPr>
          <w:rFonts w:ascii="Arial" w:hAnsi="Arial" w:cs="Arial"/>
        </w:rPr>
        <w:t xml:space="preserve"> (27,8). Chiude in ultima posizione </w:t>
      </w:r>
      <w:r w:rsidRPr="00132091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, 25 punti, </w:t>
      </w:r>
      <w:r w:rsidR="00B57B24">
        <w:rPr>
          <w:rFonts w:ascii="Arial" w:hAnsi="Arial" w:cs="Arial"/>
        </w:rPr>
        <w:t>città che mostra</w:t>
      </w:r>
      <w:r>
        <w:rPr>
          <w:rFonts w:ascii="Arial" w:hAnsi="Arial" w:cs="Arial"/>
        </w:rPr>
        <w:t xml:space="preserve"> un prezzo al metro quadro tra i più alti in Italia e</w:t>
      </w:r>
      <w:r w:rsidR="005E38C3">
        <w:rPr>
          <w:rFonts w:ascii="Arial" w:hAnsi="Arial" w:cs="Arial"/>
        </w:rPr>
        <w:t xml:space="preserve">, di conseguenza, </w:t>
      </w:r>
      <w:r>
        <w:rPr>
          <w:rFonts w:ascii="Arial" w:hAnsi="Arial" w:cs="Arial"/>
        </w:rPr>
        <w:t>un’accessibilità al mercato</w:t>
      </w:r>
      <w:r w:rsidR="00B57B24">
        <w:rPr>
          <w:rFonts w:ascii="Arial" w:hAnsi="Arial" w:cs="Arial"/>
        </w:rPr>
        <w:t xml:space="preserve"> in offerta</w:t>
      </w:r>
      <w:r>
        <w:rPr>
          <w:rFonts w:ascii="Arial" w:hAnsi="Arial" w:cs="Arial"/>
        </w:rPr>
        <w:t xml:space="preserve"> </w:t>
      </w:r>
      <w:r w:rsidRPr="005E38C3">
        <w:rPr>
          <w:rFonts w:ascii="Arial" w:hAnsi="Arial" w:cs="Arial"/>
        </w:rPr>
        <w:t>davvero molto bassa.</w:t>
      </w:r>
    </w:p>
    <w:p w14:paraId="606D60CC" w14:textId="097FF5FE" w:rsidR="005E38C3" w:rsidRPr="002547FB" w:rsidRDefault="005E38C3" w:rsidP="002547FB">
      <w:pPr>
        <w:rPr>
          <w:rFonts w:ascii="Arial" w:hAnsi="Arial" w:cs="Arial"/>
        </w:rPr>
      </w:pPr>
      <w:r w:rsidRPr="005E38C3">
        <w:rPr>
          <w:rFonts w:ascii="Arial" w:hAnsi="Arial" w:cs="Arial"/>
          <w:b/>
          <w:bCs/>
          <w:i/>
          <w:iCs/>
        </w:rPr>
        <w:lastRenderedPageBreak/>
        <w:t>Di seguito la tabella completa con l’Indice relativo alle Grandi Città</w:t>
      </w:r>
      <w:r>
        <w:rPr>
          <w:rFonts w:ascii="Arial" w:hAnsi="Arial" w:cs="Arial"/>
          <w:noProof/>
          <w14:ligatures w14:val="standardContextual"/>
        </w:rPr>
        <w:drawing>
          <wp:inline distT="0" distB="0" distL="0" distR="0" wp14:anchorId="6A22C7AF" wp14:editId="45A7EB5F">
            <wp:extent cx="6120130" cy="4943475"/>
            <wp:effectExtent l="0" t="0" r="0" b="9525"/>
            <wp:docPr id="572325532" name="Immagine 1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25532" name="Immagine 1" descr="Immagine che contiene testo, schermata, numero, Carattere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50"/>
                    <a:stretch/>
                  </pic:blipFill>
                  <pic:spPr bwMode="auto">
                    <a:xfrm>
                      <a:off x="0" y="0"/>
                      <a:ext cx="6120130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F6919" w14:textId="77777777" w:rsidR="0027769E" w:rsidRPr="0027769E" w:rsidRDefault="0027769E" w:rsidP="00C1148F">
      <w:pPr>
        <w:jc w:val="both"/>
        <w:rPr>
          <w:rFonts w:ascii="Arial" w:hAnsi="Arial" w:cs="Arial"/>
          <w:b/>
          <w:bCs/>
        </w:rPr>
      </w:pPr>
      <w:r w:rsidRPr="0027769E">
        <w:rPr>
          <w:rFonts w:ascii="Arial" w:hAnsi="Arial" w:cs="Arial"/>
          <w:b/>
          <w:bCs/>
        </w:rPr>
        <w:t>Gli altri capoluoghi</w:t>
      </w:r>
    </w:p>
    <w:p w14:paraId="58F4AC74" w14:textId="6EF43FE9" w:rsidR="001A4028" w:rsidRPr="00B57B24" w:rsidRDefault="00B57B24" w:rsidP="00C1148F">
      <w:pPr>
        <w:jc w:val="both"/>
        <w:rPr>
          <w:rFonts w:ascii="Arial" w:hAnsi="Arial" w:cs="Arial"/>
        </w:rPr>
      </w:pPr>
      <w:r w:rsidRPr="00B57B24">
        <w:rPr>
          <w:rFonts w:ascii="Arial" w:hAnsi="Arial" w:cs="Arial"/>
        </w:rPr>
        <w:t>Prendendo in esame gli altri capoluoghi di provincia, caratterizzati da dimensioni più contenute</w:t>
      </w:r>
      <w:r>
        <w:rPr>
          <w:rFonts w:ascii="Arial" w:hAnsi="Arial" w:cs="Arial"/>
        </w:rPr>
        <w:t xml:space="preserve"> e da un mercato che registra volumi di offerta minori</w:t>
      </w:r>
      <w:r w:rsidRPr="00B57B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il podio è composto da ben due città lombarde, </w:t>
      </w:r>
      <w:r w:rsidRPr="00B57B24">
        <w:rPr>
          <w:rFonts w:ascii="Arial" w:hAnsi="Arial" w:cs="Arial"/>
          <w:b/>
          <w:bCs/>
        </w:rPr>
        <w:t>Bergamo</w:t>
      </w:r>
      <w:r>
        <w:rPr>
          <w:rFonts w:ascii="Arial" w:hAnsi="Arial" w:cs="Arial"/>
        </w:rPr>
        <w:t xml:space="preserve"> e </w:t>
      </w:r>
      <w:r w:rsidRPr="00B57B24">
        <w:rPr>
          <w:rFonts w:ascii="Arial" w:hAnsi="Arial" w:cs="Arial"/>
          <w:b/>
          <w:bCs/>
        </w:rPr>
        <w:t>Monza</w:t>
      </w:r>
      <w:r>
        <w:rPr>
          <w:rFonts w:ascii="Arial" w:hAnsi="Arial" w:cs="Arial"/>
        </w:rPr>
        <w:t xml:space="preserve">, che raggiungono tutte e due un punteggio di 97, e un altro importante centro del Nord Italia, </w:t>
      </w:r>
      <w:r w:rsidRPr="00B57B24">
        <w:rPr>
          <w:rFonts w:ascii="Arial" w:hAnsi="Arial" w:cs="Arial"/>
          <w:b/>
          <w:bCs/>
        </w:rPr>
        <w:t xml:space="preserve">Padova </w:t>
      </w:r>
      <w:r>
        <w:rPr>
          <w:rFonts w:ascii="Arial" w:hAnsi="Arial" w:cs="Arial"/>
        </w:rPr>
        <w:t>(96).</w:t>
      </w:r>
      <w:r w:rsidR="00791641">
        <w:rPr>
          <w:rFonts w:ascii="Arial" w:hAnsi="Arial" w:cs="Arial"/>
        </w:rPr>
        <w:t xml:space="preserve"> Il Veneto è ben rappresentato nella top-10</w:t>
      </w:r>
      <w:r w:rsidR="0006558C">
        <w:rPr>
          <w:rFonts w:ascii="Arial" w:hAnsi="Arial" w:cs="Arial"/>
        </w:rPr>
        <w:t>:</w:t>
      </w:r>
      <w:r w:rsidR="00791641">
        <w:rPr>
          <w:rFonts w:ascii="Arial" w:hAnsi="Arial" w:cs="Arial"/>
        </w:rPr>
        <w:t xml:space="preserve"> al quarto posto infatti c’è la città di </w:t>
      </w:r>
      <w:r w:rsidR="00791641" w:rsidRPr="00791641">
        <w:rPr>
          <w:rFonts w:ascii="Arial" w:hAnsi="Arial" w:cs="Arial"/>
          <w:b/>
          <w:bCs/>
        </w:rPr>
        <w:t>Treviso</w:t>
      </w:r>
      <w:r w:rsidR="00791641">
        <w:rPr>
          <w:rFonts w:ascii="Arial" w:hAnsi="Arial" w:cs="Arial"/>
        </w:rPr>
        <w:t xml:space="preserve"> (89,3), a cui segue </w:t>
      </w:r>
      <w:r w:rsidR="00791641" w:rsidRPr="00791641">
        <w:rPr>
          <w:rFonts w:ascii="Arial" w:hAnsi="Arial" w:cs="Arial"/>
          <w:b/>
          <w:bCs/>
        </w:rPr>
        <w:t>Reggio nell’Emilia</w:t>
      </w:r>
      <w:r w:rsidR="00791641">
        <w:rPr>
          <w:rFonts w:ascii="Arial" w:hAnsi="Arial" w:cs="Arial"/>
        </w:rPr>
        <w:t xml:space="preserve"> (87) a parimerito però con </w:t>
      </w:r>
      <w:r w:rsidR="00791641" w:rsidRPr="00791641">
        <w:rPr>
          <w:rFonts w:ascii="Arial" w:hAnsi="Arial" w:cs="Arial"/>
          <w:b/>
          <w:bCs/>
        </w:rPr>
        <w:t>Vicenza</w:t>
      </w:r>
      <w:r w:rsidR="00791641">
        <w:rPr>
          <w:rFonts w:ascii="Arial" w:hAnsi="Arial" w:cs="Arial"/>
        </w:rPr>
        <w:t xml:space="preserve"> (87).</w:t>
      </w:r>
      <w:r w:rsidR="005E38C3">
        <w:rPr>
          <w:rFonts w:ascii="Arial" w:hAnsi="Arial" w:cs="Arial"/>
        </w:rPr>
        <w:t xml:space="preserve"> Si torna poi in Lombardia per completare le rimanenti posizioni, con </w:t>
      </w:r>
      <w:r w:rsidR="005E38C3" w:rsidRPr="005E38C3">
        <w:rPr>
          <w:rFonts w:ascii="Arial" w:hAnsi="Arial" w:cs="Arial"/>
          <w:b/>
          <w:bCs/>
        </w:rPr>
        <w:t>Como</w:t>
      </w:r>
      <w:r w:rsidR="005E38C3">
        <w:rPr>
          <w:rFonts w:ascii="Arial" w:hAnsi="Arial" w:cs="Arial"/>
        </w:rPr>
        <w:t xml:space="preserve"> (86,3), </w:t>
      </w:r>
      <w:r w:rsidR="005E38C3" w:rsidRPr="005E38C3">
        <w:rPr>
          <w:rFonts w:ascii="Arial" w:hAnsi="Arial" w:cs="Arial"/>
          <w:b/>
          <w:bCs/>
        </w:rPr>
        <w:t xml:space="preserve">Mantova </w:t>
      </w:r>
      <w:r w:rsidR="005E38C3">
        <w:rPr>
          <w:rFonts w:ascii="Arial" w:hAnsi="Arial" w:cs="Arial"/>
        </w:rPr>
        <w:t xml:space="preserve">(85,7), </w:t>
      </w:r>
      <w:r w:rsidR="005E38C3" w:rsidRPr="005E38C3">
        <w:rPr>
          <w:rFonts w:ascii="Arial" w:hAnsi="Arial" w:cs="Arial"/>
          <w:b/>
          <w:bCs/>
        </w:rPr>
        <w:t>Varese</w:t>
      </w:r>
      <w:r w:rsidR="005E38C3">
        <w:rPr>
          <w:rFonts w:ascii="Arial" w:hAnsi="Arial" w:cs="Arial"/>
        </w:rPr>
        <w:t xml:space="preserve"> (83)</w:t>
      </w:r>
      <w:r w:rsidR="0006558C">
        <w:rPr>
          <w:rFonts w:ascii="Arial" w:hAnsi="Arial" w:cs="Arial"/>
        </w:rPr>
        <w:t xml:space="preserve"> </w:t>
      </w:r>
      <w:r w:rsidR="005E38C3">
        <w:rPr>
          <w:rFonts w:ascii="Arial" w:hAnsi="Arial" w:cs="Arial"/>
        </w:rPr>
        <w:t xml:space="preserve">e </w:t>
      </w:r>
      <w:r w:rsidR="005E38C3" w:rsidRPr="005E38C3">
        <w:rPr>
          <w:rFonts w:ascii="Arial" w:hAnsi="Arial" w:cs="Arial"/>
          <w:b/>
          <w:bCs/>
        </w:rPr>
        <w:t>Pavia</w:t>
      </w:r>
      <w:r w:rsidR="005E38C3">
        <w:rPr>
          <w:rFonts w:ascii="Arial" w:hAnsi="Arial" w:cs="Arial"/>
        </w:rPr>
        <w:t xml:space="preserve"> (82,7).</w:t>
      </w:r>
    </w:p>
    <w:p w14:paraId="4487C181" w14:textId="4D781439" w:rsidR="001A4028" w:rsidRPr="005E38C3" w:rsidRDefault="005E38C3" w:rsidP="00C1148F">
      <w:pPr>
        <w:jc w:val="both"/>
        <w:rPr>
          <w:rFonts w:ascii="Arial" w:hAnsi="Arial" w:cs="Arial"/>
        </w:rPr>
      </w:pPr>
      <w:r w:rsidRPr="005E38C3">
        <w:rPr>
          <w:rFonts w:ascii="Arial" w:hAnsi="Arial" w:cs="Arial"/>
        </w:rPr>
        <w:t xml:space="preserve">Per trovare una città del Sud bisogna scendere fino alla </w:t>
      </w:r>
      <w:r w:rsidR="0006558C" w:rsidRPr="0006558C">
        <w:rPr>
          <w:rFonts w:ascii="Arial" w:hAnsi="Arial" w:cs="Arial"/>
          <w:b/>
          <w:bCs/>
        </w:rPr>
        <w:t>ventunesima</w:t>
      </w:r>
      <w:r w:rsidRPr="0006558C">
        <w:rPr>
          <w:rFonts w:ascii="Arial" w:hAnsi="Arial" w:cs="Arial"/>
          <w:b/>
          <w:bCs/>
        </w:rPr>
        <w:t xml:space="preserve"> posizione</w:t>
      </w:r>
      <w:r w:rsidRPr="005E38C3">
        <w:rPr>
          <w:rFonts w:ascii="Arial" w:hAnsi="Arial" w:cs="Arial"/>
        </w:rPr>
        <w:t xml:space="preserve">, </w:t>
      </w:r>
      <w:r w:rsidRPr="005E38C3">
        <w:rPr>
          <w:rFonts w:ascii="Arial" w:hAnsi="Arial" w:cs="Arial"/>
          <w:b/>
          <w:bCs/>
        </w:rPr>
        <w:t>Caserta</w:t>
      </w:r>
      <w:r w:rsidRPr="005E38C3">
        <w:rPr>
          <w:rFonts w:ascii="Arial" w:hAnsi="Arial" w:cs="Arial"/>
        </w:rPr>
        <w:t>, che raggiunge un punteggio di 75,7.</w:t>
      </w:r>
    </w:p>
    <w:p w14:paraId="4677AAC4" w14:textId="420D03BB" w:rsidR="001A4028" w:rsidRDefault="005E38C3" w:rsidP="00C1148F">
      <w:pPr>
        <w:jc w:val="both"/>
        <w:rPr>
          <w:rFonts w:ascii="Arial" w:hAnsi="Arial" w:cs="Arial"/>
        </w:rPr>
      </w:pPr>
      <w:r w:rsidRPr="005E38C3">
        <w:rPr>
          <w:rFonts w:ascii="Arial" w:hAnsi="Arial" w:cs="Arial"/>
        </w:rPr>
        <w:t xml:space="preserve">Ad occupare le ultime tre posizioni troviamo invece </w:t>
      </w:r>
      <w:r w:rsidRPr="005E38C3">
        <w:rPr>
          <w:rFonts w:ascii="Arial" w:hAnsi="Arial" w:cs="Arial"/>
          <w:b/>
          <w:bCs/>
        </w:rPr>
        <w:t>Crotone</w:t>
      </w:r>
      <w:r w:rsidRPr="005E38C3">
        <w:rPr>
          <w:rFonts w:ascii="Arial" w:hAnsi="Arial" w:cs="Arial"/>
        </w:rPr>
        <w:t xml:space="preserve"> (6,3) e due capoluoghi della Sardegna: </w:t>
      </w:r>
      <w:r w:rsidRPr="005E38C3">
        <w:rPr>
          <w:rFonts w:ascii="Arial" w:hAnsi="Arial" w:cs="Arial"/>
          <w:b/>
          <w:bCs/>
        </w:rPr>
        <w:t>Carbonia</w:t>
      </w:r>
      <w:r w:rsidRPr="005E38C3">
        <w:rPr>
          <w:rFonts w:ascii="Arial" w:hAnsi="Arial" w:cs="Arial"/>
        </w:rPr>
        <w:t xml:space="preserve"> (4,7) e </w:t>
      </w:r>
      <w:r w:rsidRPr="005E38C3">
        <w:rPr>
          <w:rFonts w:ascii="Arial" w:hAnsi="Arial" w:cs="Arial"/>
          <w:b/>
          <w:bCs/>
        </w:rPr>
        <w:t>Nuoro</w:t>
      </w:r>
      <w:r w:rsidRPr="005E38C3">
        <w:rPr>
          <w:rFonts w:ascii="Arial" w:hAnsi="Arial" w:cs="Arial"/>
        </w:rPr>
        <w:t xml:space="preserve"> (2).</w:t>
      </w:r>
    </w:p>
    <w:p w14:paraId="3F795FB8" w14:textId="70CE2F4E" w:rsidR="005E38C3" w:rsidRPr="005E38C3" w:rsidRDefault="005E38C3" w:rsidP="005E38C3">
      <w:pPr>
        <w:jc w:val="both"/>
        <w:rPr>
          <w:rFonts w:ascii="Arial" w:hAnsi="Arial" w:cs="Arial"/>
          <w:b/>
          <w:bCs/>
          <w:i/>
          <w:iCs/>
        </w:rPr>
      </w:pPr>
      <w:r w:rsidRPr="005E38C3">
        <w:rPr>
          <w:rFonts w:ascii="Arial" w:hAnsi="Arial" w:cs="Arial"/>
          <w:b/>
          <w:bCs/>
          <w:i/>
          <w:iCs/>
        </w:rPr>
        <w:t xml:space="preserve">Di seguito la tabella completa con l’Indice relativo </w:t>
      </w:r>
      <w:r>
        <w:rPr>
          <w:rFonts w:ascii="Arial" w:hAnsi="Arial" w:cs="Arial"/>
          <w:b/>
          <w:bCs/>
          <w:i/>
          <w:iCs/>
        </w:rPr>
        <w:t>ai capoluoghi (Grandi Città escluse)</w:t>
      </w:r>
    </w:p>
    <w:p w14:paraId="5C82FEA0" w14:textId="4AD0988E" w:rsidR="005E38C3" w:rsidRPr="005E38C3" w:rsidRDefault="005E38C3" w:rsidP="00C1148F">
      <w:pPr>
        <w:jc w:val="both"/>
        <w:rPr>
          <w:rFonts w:ascii="Arial" w:hAnsi="Arial" w:cs="Arial"/>
        </w:rPr>
      </w:pPr>
    </w:p>
    <w:p w14:paraId="40462730" w14:textId="2080DF44" w:rsidR="001A4028" w:rsidRDefault="005E38C3" w:rsidP="005E38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14:ligatures w14:val="standardContextual"/>
        </w:rPr>
        <w:lastRenderedPageBreak/>
        <w:drawing>
          <wp:inline distT="0" distB="0" distL="0" distR="0" wp14:anchorId="16ABA856" wp14:editId="325A55BA">
            <wp:extent cx="6120130" cy="8649970"/>
            <wp:effectExtent l="0" t="0" r="0" b="0"/>
            <wp:docPr id="33948012" name="Immagine 2" descr="Immagine che contiene testo, numero, schermata, men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8012" name="Immagine 2" descr="Immagine che contiene testo, numero, schermata, menu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14:ligatures w14:val="standardContextual"/>
        </w:rPr>
        <w:lastRenderedPageBreak/>
        <w:drawing>
          <wp:inline distT="0" distB="0" distL="0" distR="0" wp14:anchorId="0B01FFD5" wp14:editId="234A68D3">
            <wp:extent cx="6120130" cy="8649970"/>
            <wp:effectExtent l="0" t="0" r="0" b="0"/>
            <wp:docPr id="1110581587" name="Immagine 3" descr="Immagine che contiene testo, menu, numer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81587" name="Immagine 3" descr="Immagine che contiene testo, menu, numero, schermat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98BB" w14:textId="19DF7E10" w:rsidR="0077357C" w:rsidRDefault="0077357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lastRenderedPageBreak/>
        <w:t xml:space="preserve">Per ulteriori informazioni: </w:t>
      </w:r>
    </w:p>
    <w:p w14:paraId="20E90C9C" w14:textId="77777777" w:rsidR="0077357C" w:rsidRDefault="0077357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27958BDF" w14:textId="11214FF3" w:rsidR="0077357C" w:rsidRDefault="0077357C" w:rsidP="0077357C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 w:rsidR="0092523B">
        <w:rPr>
          <w:rFonts w:ascii="Arial" w:eastAsia="Lucida Sans Unicode" w:hAnsi="Arial" w:cs="Arial"/>
          <w:bCs/>
          <w:iCs/>
          <w:kern w:val="2"/>
          <w:lang w:eastAsia="ar-SA"/>
        </w:rPr>
        <w:t xml:space="preserve"> 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2F23C3A1" w14:textId="77777777" w:rsidR="0077357C" w:rsidRDefault="008A0164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10" w:history="1">
        <w:r w:rsidR="0077357C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77357C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47322"/>
    <w:rsid w:val="0006558C"/>
    <w:rsid w:val="000D7772"/>
    <w:rsid w:val="00122B83"/>
    <w:rsid w:val="00132091"/>
    <w:rsid w:val="0017694D"/>
    <w:rsid w:val="001A4028"/>
    <w:rsid w:val="001C147A"/>
    <w:rsid w:val="002547FB"/>
    <w:rsid w:val="0027769E"/>
    <w:rsid w:val="00373623"/>
    <w:rsid w:val="003D6775"/>
    <w:rsid w:val="00456069"/>
    <w:rsid w:val="00483BE0"/>
    <w:rsid w:val="004A557C"/>
    <w:rsid w:val="004C75C2"/>
    <w:rsid w:val="00537A19"/>
    <w:rsid w:val="0055692C"/>
    <w:rsid w:val="00587147"/>
    <w:rsid w:val="005D7FDB"/>
    <w:rsid w:val="005E38C3"/>
    <w:rsid w:val="005F65D7"/>
    <w:rsid w:val="00672543"/>
    <w:rsid w:val="006856D2"/>
    <w:rsid w:val="0068668B"/>
    <w:rsid w:val="0074661A"/>
    <w:rsid w:val="0077357C"/>
    <w:rsid w:val="00791641"/>
    <w:rsid w:val="007D3CDC"/>
    <w:rsid w:val="008A0164"/>
    <w:rsid w:val="008E44EE"/>
    <w:rsid w:val="008F04E0"/>
    <w:rsid w:val="00904488"/>
    <w:rsid w:val="0092523B"/>
    <w:rsid w:val="00951BB3"/>
    <w:rsid w:val="009926B0"/>
    <w:rsid w:val="009C202A"/>
    <w:rsid w:val="00A02067"/>
    <w:rsid w:val="00A30185"/>
    <w:rsid w:val="00A40218"/>
    <w:rsid w:val="00B57B24"/>
    <w:rsid w:val="00B74684"/>
    <w:rsid w:val="00C1148F"/>
    <w:rsid w:val="00C95E59"/>
    <w:rsid w:val="00CB0A15"/>
    <w:rsid w:val="00CB10D7"/>
    <w:rsid w:val="00CD567A"/>
    <w:rsid w:val="00CE793F"/>
    <w:rsid w:val="00D1499E"/>
    <w:rsid w:val="00DB3A43"/>
    <w:rsid w:val="00E063B7"/>
    <w:rsid w:val="00EB6F37"/>
    <w:rsid w:val="00F77C32"/>
    <w:rsid w:val="00F81552"/>
    <w:rsid w:val="00F83BBE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fficiostampa@immobiliar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Immobiliare.it - 0</cp:lastModifiedBy>
  <cp:revision>16</cp:revision>
  <dcterms:created xsi:type="dcterms:W3CDTF">2023-08-03T13:58:00Z</dcterms:created>
  <dcterms:modified xsi:type="dcterms:W3CDTF">2024-02-02T16:25:00Z</dcterms:modified>
</cp:coreProperties>
</file>