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3A71" w14:textId="77777777" w:rsidR="001522BB" w:rsidRPr="001522BB" w:rsidRDefault="001522BB" w:rsidP="001522BB">
      <w:pPr>
        <w:pStyle w:val="Testonormale"/>
        <w:ind w:right="-8"/>
        <w:jc w:val="center"/>
        <w:rPr>
          <w:rFonts w:ascii="Calibri" w:hAnsi="Calibri" w:cs="Calibri"/>
          <w:b/>
          <w:bCs/>
        </w:rPr>
      </w:pPr>
      <w:r w:rsidRPr="001522BB">
        <w:rPr>
          <w:rFonts w:ascii="Calibri" w:hAnsi="Calibri" w:cs="Calibri"/>
          <w:b/>
          <w:bCs/>
        </w:rPr>
        <w:t>comunicato stampa</w:t>
      </w:r>
    </w:p>
    <w:p w14:paraId="3BDE433A" w14:textId="77777777" w:rsidR="001522BB" w:rsidRDefault="001522BB" w:rsidP="001522BB">
      <w:pPr>
        <w:pStyle w:val="Testonormale"/>
        <w:ind w:right="-8"/>
        <w:rPr>
          <w:rFonts w:ascii="Calibri" w:hAnsi="Calibri" w:cs="Calibri"/>
        </w:rPr>
      </w:pPr>
    </w:p>
    <w:p w14:paraId="62B3F9DE" w14:textId="77777777" w:rsidR="002C593E" w:rsidRPr="001522BB" w:rsidRDefault="002C593E" w:rsidP="001522BB">
      <w:pPr>
        <w:pStyle w:val="Testonormale"/>
        <w:ind w:right="-8"/>
        <w:rPr>
          <w:rFonts w:ascii="Calibri" w:hAnsi="Calibri" w:cs="Calibri"/>
        </w:rPr>
      </w:pPr>
    </w:p>
    <w:p w14:paraId="591BEAC7" w14:textId="77777777" w:rsidR="00B070E1" w:rsidRDefault="007A6636" w:rsidP="00B070E1">
      <w:pPr>
        <w:pStyle w:val="Testonormale"/>
        <w:ind w:right="-8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FINTYRE CHIUDE </w:t>
      </w:r>
      <w:r w:rsidR="006A07C6">
        <w:rPr>
          <w:rFonts w:ascii="Calibri" w:hAnsi="Calibri" w:cs="Calibri"/>
          <w:b/>
          <w:bCs/>
          <w:sz w:val="32"/>
          <w:szCs w:val="32"/>
        </w:rPr>
        <w:t xml:space="preserve">IN ANTICIPO </w:t>
      </w:r>
      <w:r>
        <w:rPr>
          <w:rFonts w:ascii="Calibri" w:hAnsi="Calibri" w:cs="Calibri"/>
          <w:b/>
          <w:bCs/>
          <w:sz w:val="32"/>
          <w:szCs w:val="32"/>
        </w:rPr>
        <w:t xml:space="preserve">IL CONCORDATO </w:t>
      </w:r>
      <w:r w:rsidR="006A07C6">
        <w:rPr>
          <w:rFonts w:ascii="Calibri" w:hAnsi="Calibri" w:cs="Calibri"/>
          <w:b/>
          <w:bCs/>
          <w:sz w:val="32"/>
          <w:szCs w:val="32"/>
        </w:rPr>
        <w:t>PREVENTIVO</w:t>
      </w:r>
    </w:p>
    <w:p w14:paraId="2C183551" w14:textId="79E17394" w:rsidR="007A6636" w:rsidRDefault="007A6636" w:rsidP="00B070E1">
      <w:pPr>
        <w:pStyle w:val="Testonormale"/>
        <w:ind w:right="-8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E</w:t>
      </w:r>
      <w:proofErr w:type="gramEnd"/>
      <w:r w:rsidR="00CB77A4">
        <w:rPr>
          <w:rFonts w:ascii="Calibri" w:hAnsi="Calibri" w:cs="Calibri"/>
          <w:b/>
          <w:bCs/>
          <w:sz w:val="32"/>
          <w:szCs w:val="32"/>
        </w:rPr>
        <w:t xml:space="preserve"> COMPLETA UN’OPERAZIONE DI </w:t>
      </w:r>
      <w:r>
        <w:rPr>
          <w:rFonts w:ascii="Calibri" w:hAnsi="Calibri" w:cs="Calibri"/>
          <w:b/>
          <w:bCs/>
          <w:sz w:val="32"/>
          <w:szCs w:val="32"/>
        </w:rPr>
        <w:t>FINANZIAMENTO DA 20 MILIONI CON BANCO BPM</w:t>
      </w:r>
    </w:p>
    <w:p w14:paraId="01CFED4E" w14:textId="77777777" w:rsidR="000752C9" w:rsidRDefault="000752C9" w:rsidP="007A6636">
      <w:pPr>
        <w:pStyle w:val="Testonormale"/>
        <w:ind w:right="-8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B0E5BD5" w14:textId="46E5D19C" w:rsidR="00835444" w:rsidRPr="00835444" w:rsidRDefault="00835444" w:rsidP="007A6636">
      <w:pPr>
        <w:pStyle w:val="Testonormale"/>
        <w:ind w:right="-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>Inte</w:t>
      </w:r>
      <w:r w:rsidR="00CB77A4">
        <w:rPr>
          <w:rFonts w:ascii="Calibri" w:hAnsi="Calibri" w:cs="Calibri"/>
          <w:b/>
          <w:bCs/>
          <w:i/>
          <w:iCs/>
          <w:sz w:val="28"/>
          <w:szCs w:val="28"/>
        </w:rPr>
        <w:t>g</w:t>
      </w: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>ra</w:t>
      </w:r>
      <w:r w:rsidR="00CB77A4">
        <w:rPr>
          <w:rFonts w:ascii="Calibri" w:hAnsi="Calibri" w:cs="Calibri"/>
          <w:b/>
          <w:bCs/>
          <w:i/>
          <w:iCs/>
          <w:sz w:val="28"/>
          <w:szCs w:val="28"/>
        </w:rPr>
        <w:t>l</w:t>
      </w: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>mente rimborsati tutti i creditori.</w:t>
      </w:r>
    </w:p>
    <w:p w14:paraId="311741FB" w14:textId="4693CD3C" w:rsidR="00835444" w:rsidRDefault="00835444" w:rsidP="00835444">
      <w:pPr>
        <w:pStyle w:val="Testonormale"/>
        <w:ind w:right="-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 xml:space="preserve">Franchi (CEO): “Acceleriamo il piano di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crescita e </w:t>
      </w: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>sviluppo</w:t>
      </w:r>
    </w:p>
    <w:p w14:paraId="619C686A" w14:textId="35BDD1CA" w:rsidR="00835444" w:rsidRPr="00835444" w:rsidRDefault="00835444" w:rsidP="00835444">
      <w:pPr>
        <w:pStyle w:val="Testonormale"/>
        <w:ind w:right="-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e puntiamo ai 450 milioni di euro </w:t>
      </w:r>
      <w:r w:rsidR="00B87FBA">
        <w:rPr>
          <w:rFonts w:ascii="Calibri" w:hAnsi="Calibri" w:cs="Calibri"/>
          <w:b/>
          <w:bCs/>
          <w:i/>
          <w:iCs/>
          <w:sz w:val="28"/>
          <w:szCs w:val="28"/>
        </w:rPr>
        <w:t xml:space="preserve">di fatturato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entro il 202</w:t>
      </w:r>
      <w:r w:rsidR="00597DC5">
        <w:rPr>
          <w:rFonts w:ascii="Calibri" w:hAnsi="Calibri" w:cs="Calibri"/>
          <w:b/>
          <w:bCs/>
          <w:i/>
          <w:iCs/>
          <w:sz w:val="28"/>
          <w:szCs w:val="28"/>
        </w:rPr>
        <w:t>5</w:t>
      </w:r>
      <w:r w:rsidRPr="00835444">
        <w:rPr>
          <w:rFonts w:ascii="Calibri" w:hAnsi="Calibri" w:cs="Calibri"/>
          <w:b/>
          <w:bCs/>
          <w:i/>
          <w:iCs/>
          <w:sz w:val="28"/>
          <w:szCs w:val="28"/>
        </w:rPr>
        <w:t>”</w:t>
      </w:r>
    </w:p>
    <w:p w14:paraId="1FCEE12D" w14:textId="77777777" w:rsidR="001522BB" w:rsidRDefault="001522BB" w:rsidP="001522BB">
      <w:pPr>
        <w:pStyle w:val="Testonormale"/>
        <w:ind w:right="-8"/>
        <w:rPr>
          <w:rFonts w:ascii="Calibri" w:hAnsi="Calibri" w:cs="Calibri"/>
        </w:rPr>
      </w:pPr>
    </w:p>
    <w:p w14:paraId="2B609804" w14:textId="77777777" w:rsidR="00835444" w:rsidRPr="001522BB" w:rsidRDefault="00835444" w:rsidP="001522BB">
      <w:pPr>
        <w:pStyle w:val="Testonormale"/>
        <w:ind w:right="-8"/>
        <w:rPr>
          <w:rFonts w:ascii="Calibri" w:hAnsi="Calibri" w:cs="Calibri"/>
        </w:rPr>
      </w:pPr>
    </w:p>
    <w:p w14:paraId="321ECB20" w14:textId="7C47C3FC" w:rsidR="00835444" w:rsidRDefault="007A6636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 w:rsidRPr="00B6668C">
        <w:rPr>
          <w:rFonts w:ascii="Calibri" w:hAnsi="Calibri" w:cs="Calibri"/>
          <w:i/>
          <w:iCs/>
          <w:sz w:val="24"/>
          <w:szCs w:val="24"/>
        </w:rPr>
        <w:t>Seriate</w:t>
      </w:r>
      <w:r w:rsidR="001522BB" w:rsidRPr="00B6668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6668C">
        <w:rPr>
          <w:rFonts w:ascii="Calibri" w:hAnsi="Calibri" w:cs="Calibri"/>
          <w:i/>
          <w:iCs/>
          <w:sz w:val="24"/>
          <w:szCs w:val="24"/>
        </w:rPr>
        <w:t>(BG</w:t>
      </w:r>
      <w:r w:rsidR="001522BB" w:rsidRPr="00B6668C">
        <w:rPr>
          <w:rFonts w:ascii="Calibri" w:hAnsi="Calibri" w:cs="Calibri"/>
          <w:i/>
          <w:iCs/>
          <w:sz w:val="24"/>
          <w:szCs w:val="24"/>
        </w:rPr>
        <w:t xml:space="preserve">), </w:t>
      </w:r>
      <w:r w:rsidR="00EF29DE">
        <w:rPr>
          <w:rFonts w:ascii="Calibri" w:hAnsi="Calibri" w:cs="Calibri"/>
          <w:i/>
          <w:iCs/>
          <w:sz w:val="24"/>
          <w:szCs w:val="24"/>
        </w:rPr>
        <w:t>6</w:t>
      </w:r>
      <w:r w:rsidR="00835444" w:rsidRPr="00B6668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F29DE">
        <w:rPr>
          <w:rFonts w:ascii="Calibri" w:hAnsi="Calibri" w:cs="Calibri"/>
          <w:i/>
          <w:iCs/>
          <w:sz w:val="24"/>
          <w:szCs w:val="24"/>
        </w:rPr>
        <w:t>febbr</w:t>
      </w:r>
      <w:r w:rsidRPr="00B6668C">
        <w:rPr>
          <w:rFonts w:ascii="Calibri" w:hAnsi="Calibri" w:cs="Calibri"/>
          <w:i/>
          <w:iCs/>
          <w:sz w:val="24"/>
          <w:szCs w:val="24"/>
        </w:rPr>
        <w:t>aio</w:t>
      </w:r>
      <w:r w:rsidR="001522BB" w:rsidRPr="00B6668C">
        <w:rPr>
          <w:rFonts w:ascii="Calibri" w:hAnsi="Calibri" w:cs="Calibri"/>
          <w:i/>
          <w:iCs/>
          <w:sz w:val="24"/>
          <w:szCs w:val="24"/>
        </w:rPr>
        <w:t xml:space="preserve"> 202</w:t>
      </w:r>
      <w:r w:rsidRPr="00B6668C">
        <w:rPr>
          <w:rFonts w:ascii="Calibri" w:hAnsi="Calibri" w:cs="Calibri"/>
          <w:i/>
          <w:iCs/>
          <w:sz w:val="24"/>
          <w:szCs w:val="24"/>
        </w:rPr>
        <w:t>4</w:t>
      </w:r>
      <w:r w:rsidR="001522BB" w:rsidRPr="00B6668C">
        <w:rPr>
          <w:rFonts w:ascii="Calibri" w:hAnsi="Calibri" w:cs="Calibri"/>
          <w:sz w:val="24"/>
          <w:szCs w:val="24"/>
        </w:rPr>
        <w:t xml:space="preserve"> – </w:t>
      </w:r>
      <w:r w:rsidRPr="00B6668C">
        <w:rPr>
          <w:rFonts w:ascii="Calibri" w:hAnsi="Calibri" w:cs="Calibri"/>
          <w:b/>
          <w:bCs/>
          <w:sz w:val="24"/>
          <w:szCs w:val="24"/>
        </w:rPr>
        <w:t>Fintyre</w:t>
      </w:r>
      <w:r w:rsidR="0042177D">
        <w:rPr>
          <w:rFonts w:ascii="Calibri" w:hAnsi="Calibri" w:cs="Calibri"/>
          <w:b/>
          <w:bCs/>
          <w:sz w:val="24"/>
          <w:szCs w:val="24"/>
        </w:rPr>
        <w:t xml:space="preserve"> Spa</w:t>
      </w:r>
      <w:r w:rsidRPr="00B6668C">
        <w:rPr>
          <w:rFonts w:ascii="Calibri" w:hAnsi="Calibri" w:cs="Calibri"/>
          <w:sz w:val="24"/>
          <w:szCs w:val="24"/>
        </w:rPr>
        <w:t xml:space="preserve">, </w:t>
      </w:r>
      <w:r w:rsidR="006A07C6" w:rsidRPr="006A07C6">
        <w:rPr>
          <w:rFonts w:ascii="Calibri" w:hAnsi="Calibri" w:cs="Calibri"/>
          <w:sz w:val="24"/>
          <w:szCs w:val="24"/>
        </w:rPr>
        <w:t>leader nella distribuzione</w:t>
      </w:r>
      <w:r w:rsidR="006A07C6">
        <w:rPr>
          <w:rFonts w:ascii="Calibri" w:hAnsi="Calibri" w:cs="Calibri"/>
          <w:sz w:val="24"/>
          <w:szCs w:val="24"/>
        </w:rPr>
        <w:t xml:space="preserve"> </w:t>
      </w:r>
      <w:r w:rsidRPr="00B6668C">
        <w:rPr>
          <w:rFonts w:ascii="Calibri" w:hAnsi="Calibri" w:cs="Calibri"/>
          <w:sz w:val="24"/>
          <w:szCs w:val="24"/>
        </w:rPr>
        <w:t>di pneumatici</w:t>
      </w:r>
      <w:r w:rsidR="006A07C6">
        <w:rPr>
          <w:rFonts w:ascii="Calibri" w:hAnsi="Calibri" w:cs="Calibri"/>
          <w:sz w:val="24"/>
          <w:szCs w:val="24"/>
        </w:rPr>
        <w:t xml:space="preserve"> in Italia e primo operatore</w:t>
      </w:r>
      <w:r w:rsidRPr="00B6668C">
        <w:rPr>
          <w:rFonts w:ascii="Calibri" w:hAnsi="Calibri" w:cs="Calibri"/>
          <w:sz w:val="24"/>
          <w:szCs w:val="24"/>
        </w:rPr>
        <w:t xml:space="preserve"> sul mercato </w:t>
      </w:r>
      <w:r w:rsidR="00C74E95">
        <w:rPr>
          <w:rFonts w:ascii="Calibri" w:hAnsi="Calibri" w:cs="Calibri"/>
          <w:sz w:val="24"/>
          <w:szCs w:val="24"/>
        </w:rPr>
        <w:t>nazionale</w:t>
      </w:r>
      <w:r w:rsidR="00C74E95" w:rsidRPr="00B6668C">
        <w:rPr>
          <w:rFonts w:ascii="Calibri" w:hAnsi="Calibri" w:cs="Calibri"/>
          <w:sz w:val="24"/>
          <w:szCs w:val="24"/>
        </w:rPr>
        <w:t xml:space="preserve"> </w:t>
      </w:r>
      <w:r w:rsidR="0086298E" w:rsidRPr="00B6668C">
        <w:rPr>
          <w:rFonts w:ascii="Calibri" w:hAnsi="Calibri" w:cs="Calibri"/>
          <w:sz w:val="24"/>
          <w:szCs w:val="24"/>
        </w:rPr>
        <w:t>per volume d’affari</w:t>
      </w:r>
      <w:r w:rsidRPr="00B6668C">
        <w:rPr>
          <w:rFonts w:ascii="Calibri" w:hAnsi="Calibri" w:cs="Calibri"/>
          <w:sz w:val="24"/>
          <w:szCs w:val="24"/>
        </w:rPr>
        <w:t xml:space="preserve">, annuncia </w:t>
      </w:r>
      <w:r w:rsidR="00CB77A4">
        <w:rPr>
          <w:rFonts w:ascii="Calibri" w:hAnsi="Calibri" w:cs="Calibri"/>
          <w:sz w:val="24"/>
          <w:szCs w:val="24"/>
        </w:rPr>
        <w:t xml:space="preserve">l’estinzione </w:t>
      </w:r>
      <w:r w:rsidR="00DC1581" w:rsidRPr="00B6668C">
        <w:rPr>
          <w:rFonts w:ascii="Calibri" w:hAnsi="Calibri" w:cs="Calibri"/>
          <w:sz w:val="24"/>
          <w:szCs w:val="24"/>
        </w:rPr>
        <w:t>della procedura di concordato preventivo,</w:t>
      </w:r>
      <w:r w:rsidR="0086298E" w:rsidRPr="00B6668C">
        <w:rPr>
          <w:rFonts w:ascii="Calibri" w:hAnsi="Calibri" w:cs="Calibri"/>
          <w:sz w:val="24"/>
          <w:szCs w:val="24"/>
        </w:rPr>
        <w:t xml:space="preserve"> azzerando il proprio debito nei confronti di tutti i creditori</w:t>
      </w:r>
      <w:r w:rsidR="00017DD9" w:rsidRPr="00B6668C">
        <w:rPr>
          <w:rFonts w:ascii="Calibri" w:hAnsi="Calibri" w:cs="Calibri"/>
          <w:sz w:val="24"/>
          <w:szCs w:val="24"/>
        </w:rPr>
        <w:t xml:space="preserve"> </w:t>
      </w:r>
      <w:r w:rsidR="00DC1581" w:rsidRPr="00835444">
        <w:rPr>
          <w:rFonts w:ascii="Calibri" w:hAnsi="Calibri" w:cs="Calibri"/>
          <w:b/>
          <w:bCs/>
          <w:sz w:val="24"/>
          <w:szCs w:val="24"/>
        </w:rPr>
        <w:t xml:space="preserve">in anticipo di 15 mesi </w:t>
      </w:r>
      <w:r w:rsidR="0086298E" w:rsidRPr="00835444">
        <w:rPr>
          <w:rFonts w:ascii="Calibri" w:hAnsi="Calibri" w:cs="Calibri"/>
          <w:b/>
          <w:bCs/>
          <w:sz w:val="24"/>
          <w:szCs w:val="24"/>
        </w:rPr>
        <w:t>sulla scadenza prevista</w:t>
      </w:r>
      <w:r w:rsidR="00E7601F" w:rsidRPr="00B6668C">
        <w:rPr>
          <w:rFonts w:ascii="Calibri" w:hAnsi="Calibri" w:cs="Calibri"/>
          <w:sz w:val="24"/>
          <w:szCs w:val="24"/>
        </w:rPr>
        <w:t xml:space="preserve">. </w:t>
      </w:r>
    </w:p>
    <w:p w14:paraId="230C7F3E" w14:textId="06CE43D6" w:rsidR="006018AD" w:rsidRDefault="0042177D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conferma della solidità d</w:t>
      </w:r>
      <w:r w:rsidR="00647CF9">
        <w:rPr>
          <w:rFonts w:ascii="Calibri" w:hAnsi="Calibri" w:cs="Calibri"/>
          <w:sz w:val="24"/>
          <w:szCs w:val="24"/>
        </w:rPr>
        <w:t>el</w:t>
      </w:r>
      <w:r w:rsidR="00B87FBA">
        <w:rPr>
          <w:rFonts w:ascii="Calibri" w:hAnsi="Calibri" w:cs="Calibri"/>
          <w:sz w:val="24"/>
          <w:szCs w:val="24"/>
        </w:rPr>
        <w:t xml:space="preserve"> gruppo</w:t>
      </w:r>
      <w:r w:rsidR="00017DD9" w:rsidRPr="00B6668C">
        <w:rPr>
          <w:rFonts w:ascii="Calibri" w:hAnsi="Calibri" w:cs="Calibri"/>
          <w:sz w:val="24"/>
          <w:szCs w:val="24"/>
        </w:rPr>
        <w:t xml:space="preserve">, che oltre alla capogruppo comprende il distributore Franco Gomme, </w:t>
      </w:r>
      <w:proofErr w:type="spellStart"/>
      <w:r w:rsidR="00647CF9">
        <w:rPr>
          <w:rFonts w:ascii="Calibri" w:hAnsi="Calibri" w:cs="Calibri"/>
          <w:sz w:val="24"/>
          <w:szCs w:val="24"/>
        </w:rPr>
        <w:t>Fintyre</w:t>
      </w:r>
      <w:proofErr w:type="spellEnd"/>
      <w:r w:rsidR="00647CF9">
        <w:rPr>
          <w:rFonts w:ascii="Calibri" w:hAnsi="Calibri" w:cs="Calibri"/>
          <w:sz w:val="24"/>
          <w:szCs w:val="24"/>
        </w:rPr>
        <w:t xml:space="preserve"> ha comunicato </w:t>
      </w:r>
      <w:r w:rsidR="00CB77A4">
        <w:rPr>
          <w:rFonts w:ascii="Calibri" w:hAnsi="Calibri" w:cs="Calibri"/>
          <w:sz w:val="24"/>
          <w:szCs w:val="24"/>
        </w:rPr>
        <w:t xml:space="preserve">di aver completato un’operazione </w:t>
      </w:r>
      <w:r w:rsidR="00647CF9">
        <w:rPr>
          <w:rFonts w:ascii="Calibri" w:hAnsi="Calibri" w:cs="Calibri"/>
          <w:sz w:val="24"/>
          <w:szCs w:val="24"/>
        </w:rPr>
        <w:t xml:space="preserve">di </w:t>
      </w:r>
      <w:r w:rsidR="00017DD9" w:rsidRPr="00835444">
        <w:rPr>
          <w:rFonts w:ascii="Calibri" w:hAnsi="Calibri" w:cs="Calibri"/>
          <w:b/>
          <w:bCs/>
          <w:sz w:val="24"/>
          <w:szCs w:val="24"/>
        </w:rPr>
        <w:t xml:space="preserve">finanziamento da 20 milioni </w:t>
      </w:r>
      <w:r w:rsidR="00647CF9" w:rsidRPr="00835444">
        <w:rPr>
          <w:rFonts w:ascii="Calibri" w:hAnsi="Calibri" w:cs="Calibri"/>
          <w:b/>
          <w:bCs/>
          <w:sz w:val="24"/>
          <w:szCs w:val="24"/>
        </w:rPr>
        <w:t xml:space="preserve">di euro </w:t>
      </w:r>
      <w:r w:rsidR="00017DD9" w:rsidRPr="00835444">
        <w:rPr>
          <w:rFonts w:ascii="Calibri" w:hAnsi="Calibri" w:cs="Calibri"/>
          <w:b/>
          <w:bCs/>
          <w:sz w:val="24"/>
          <w:szCs w:val="24"/>
        </w:rPr>
        <w:t>da</w:t>
      </w:r>
      <w:r w:rsidR="00647CF9" w:rsidRPr="00835444">
        <w:rPr>
          <w:rFonts w:ascii="Calibri" w:hAnsi="Calibri" w:cs="Calibri"/>
          <w:b/>
          <w:bCs/>
          <w:sz w:val="24"/>
          <w:szCs w:val="24"/>
        </w:rPr>
        <w:t xml:space="preserve"> parte di</w:t>
      </w:r>
      <w:r w:rsidR="00017DD9" w:rsidRPr="00835444">
        <w:rPr>
          <w:rFonts w:ascii="Calibri" w:hAnsi="Calibri" w:cs="Calibri"/>
          <w:b/>
          <w:bCs/>
          <w:sz w:val="24"/>
          <w:szCs w:val="24"/>
        </w:rPr>
        <w:t xml:space="preserve"> Banco BPM</w:t>
      </w:r>
      <w:r w:rsidR="00017DD9" w:rsidRPr="00B6668C">
        <w:rPr>
          <w:rFonts w:ascii="Calibri" w:hAnsi="Calibri" w:cs="Calibri"/>
          <w:sz w:val="24"/>
          <w:szCs w:val="24"/>
        </w:rPr>
        <w:t>.</w:t>
      </w:r>
    </w:p>
    <w:p w14:paraId="1B790469" w14:textId="77777777" w:rsidR="00835BF5" w:rsidRDefault="00835BF5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02D6D6AF" w14:textId="48858CDA" w:rsidR="001A2318" w:rsidRDefault="001A2318" w:rsidP="001A2318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Fintyre è presente su tutto il territorio nazionale con</w:t>
      </w:r>
      <w:r w:rsidR="00DB02EE">
        <w:rPr>
          <w:rFonts w:ascii="Calibri" w:hAnsi="Calibri" w:cs="Calibri"/>
          <w:sz w:val="24"/>
          <w:szCs w:val="24"/>
        </w:rPr>
        <w:t xml:space="preserve"> 245 dipendenti, oltre a</w:t>
      </w:r>
      <w:r>
        <w:rPr>
          <w:rFonts w:ascii="Calibri" w:hAnsi="Calibri" w:cs="Calibri"/>
          <w:sz w:val="24"/>
          <w:szCs w:val="24"/>
        </w:rPr>
        <w:t xml:space="preserve"> </w:t>
      </w:r>
      <w:r w:rsidR="00DB02EE">
        <w:rPr>
          <w:rFonts w:ascii="Calibri" w:hAnsi="Calibri" w:cs="Calibri"/>
          <w:sz w:val="24"/>
          <w:szCs w:val="24"/>
        </w:rPr>
        <w:t xml:space="preserve">una rete di </w:t>
      </w:r>
      <w:r w:rsidR="000752C9">
        <w:rPr>
          <w:rFonts w:ascii="Calibri" w:hAnsi="Calibri" w:cs="Calibri"/>
          <w:sz w:val="24"/>
          <w:szCs w:val="24"/>
        </w:rPr>
        <w:t>190 commerciali</w:t>
      </w:r>
      <w:r w:rsidR="00DB02EE">
        <w:rPr>
          <w:rFonts w:ascii="Calibri" w:hAnsi="Calibri" w:cs="Calibri"/>
          <w:sz w:val="24"/>
          <w:szCs w:val="24"/>
        </w:rPr>
        <w:t xml:space="preserve"> e 14 magazzini</w:t>
      </w:r>
      <w:r>
        <w:rPr>
          <w:rFonts w:ascii="Calibri" w:hAnsi="Calibri" w:cs="Calibri"/>
          <w:sz w:val="24"/>
          <w:szCs w:val="24"/>
        </w:rPr>
        <w:t xml:space="preserve"> </w:t>
      </w:r>
      <w:r w:rsidR="000752C9">
        <w:rPr>
          <w:rFonts w:ascii="Calibri" w:hAnsi="Calibri" w:cs="Calibri"/>
          <w:sz w:val="24"/>
          <w:szCs w:val="24"/>
        </w:rPr>
        <w:t>grazie alla quale</w:t>
      </w:r>
      <w:r>
        <w:rPr>
          <w:rFonts w:ascii="Calibri" w:hAnsi="Calibri" w:cs="Calibri"/>
          <w:sz w:val="24"/>
          <w:szCs w:val="24"/>
        </w:rPr>
        <w:t xml:space="preserve"> serve più di 20mila clienti</w:t>
      </w:r>
      <w:r w:rsidR="00B87FB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con oltre </w:t>
      </w:r>
      <w:r w:rsidR="00597DC5">
        <w:rPr>
          <w:rFonts w:ascii="Calibri" w:hAnsi="Calibri" w:cs="Calibri"/>
          <w:sz w:val="24"/>
          <w:szCs w:val="24"/>
        </w:rPr>
        <w:t>5</w:t>
      </w:r>
      <w:r w:rsidR="000752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milioni di pneumatici venduti ogni anno.</w:t>
      </w:r>
    </w:p>
    <w:p w14:paraId="1BC22A20" w14:textId="77777777" w:rsidR="001A2318" w:rsidRDefault="001A2318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6D6B2069" w14:textId="0578FDE3" w:rsidR="00640BB7" w:rsidRDefault="00D02D3F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processo di ristrutturazione aziendale si è a</w:t>
      </w:r>
      <w:r w:rsidR="00835BF5">
        <w:rPr>
          <w:rFonts w:ascii="Calibri" w:hAnsi="Calibri" w:cs="Calibri"/>
          <w:sz w:val="24"/>
          <w:szCs w:val="24"/>
        </w:rPr>
        <w:t xml:space="preserve">perto </w:t>
      </w:r>
      <w:r w:rsidR="00C47DC3">
        <w:rPr>
          <w:rFonts w:ascii="Calibri" w:hAnsi="Calibri" w:cs="Calibri"/>
          <w:sz w:val="24"/>
          <w:szCs w:val="24"/>
        </w:rPr>
        <w:t xml:space="preserve">a metà </w:t>
      </w:r>
      <w:r w:rsidR="00835BF5">
        <w:rPr>
          <w:rFonts w:ascii="Calibri" w:hAnsi="Calibri" w:cs="Calibri"/>
          <w:sz w:val="24"/>
          <w:szCs w:val="24"/>
        </w:rPr>
        <w:t>2020</w:t>
      </w:r>
      <w:r w:rsidR="00B87FBA">
        <w:rPr>
          <w:rFonts w:ascii="Calibri" w:hAnsi="Calibri" w:cs="Calibri"/>
          <w:sz w:val="24"/>
          <w:szCs w:val="24"/>
        </w:rPr>
        <w:t xml:space="preserve">, </w:t>
      </w:r>
      <w:r w:rsidR="000752C9">
        <w:rPr>
          <w:rFonts w:ascii="Calibri" w:hAnsi="Calibri" w:cs="Calibri"/>
          <w:sz w:val="24"/>
          <w:szCs w:val="24"/>
        </w:rPr>
        <w:t>per difficoltà dovute</w:t>
      </w:r>
      <w:r w:rsidR="001A2318">
        <w:rPr>
          <w:rFonts w:ascii="Calibri" w:hAnsi="Calibri" w:cs="Calibri"/>
          <w:sz w:val="24"/>
          <w:szCs w:val="24"/>
        </w:rPr>
        <w:t xml:space="preserve"> </w:t>
      </w:r>
      <w:r w:rsidR="00E022B5">
        <w:rPr>
          <w:rFonts w:ascii="Calibri" w:hAnsi="Calibri" w:cs="Calibri"/>
          <w:sz w:val="24"/>
          <w:szCs w:val="24"/>
        </w:rPr>
        <w:t xml:space="preserve">al </w:t>
      </w:r>
      <w:r w:rsidR="000752C9">
        <w:rPr>
          <w:rFonts w:ascii="Calibri" w:hAnsi="Calibri" w:cs="Calibri"/>
          <w:sz w:val="24"/>
          <w:szCs w:val="24"/>
        </w:rPr>
        <w:t>rallentamento economico</w:t>
      </w:r>
      <w:r w:rsidR="00E022B5">
        <w:rPr>
          <w:rFonts w:ascii="Calibri" w:hAnsi="Calibri" w:cs="Calibri"/>
          <w:sz w:val="24"/>
          <w:szCs w:val="24"/>
        </w:rPr>
        <w:t xml:space="preserve"> legat</w:t>
      </w:r>
      <w:r w:rsidR="000752C9">
        <w:rPr>
          <w:rFonts w:ascii="Calibri" w:hAnsi="Calibri" w:cs="Calibri"/>
          <w:sz w:val="24"/>
          <w:szCs w:val="24"/>
        </w:rPr>
        <w:t>o</w:t>
      </w:r>
      <w:r w:rsidR="00E022B5">
        <w:rPr>
          <w:rFonts w:ascii="Calibri" w:hAnsi="Calibri" w:cs="Calibri"/>
          <w:sz w:val="24"/>
          <w:szCs w:val="24"/>
        </w:rPr>
        <w:t xml:space="preserve"> alla pandemia</w:t>
      </w:r>
      <w:r w:rsidR="001A2318">
        <w:rPr>
          <w:rFonts w:ascii="Calibri" w:hAnsi="Calibri" w:cs="Calibri"/>
          <w:sz w:val="24"/>
          <w:szCs w:val="24"/>
        </w:rPr>
        <w:t xml:space="preserve"> </w:t>
      </w:r>
      <w:r w:rsidR="000752C9">
        <w:rPr>
          <w:rFonts w:ascii="Calibri" w:hAnsi="Calibri" w:cs="Calibri"/>
          <w:sz w:val="24"/>
          <w:szCs w:val="24"/>
        </w:rPr>
        <w:t xml:space="preserve">e </w:t>
      </w:r>
      <w:r w:rsidR="00DB02EE">
        <w:rPr>
          <w:rFonts w:ascii="Calibri" w:hAnsi="Calibri" w:cs="Calibri"/>
          <w:sz w:val="24"/>
          <w:szCs w:val="24"/>
        </w:rPr>
        <w:t>a</w:t>
      </w:r>
      <w:r w:rsidR="000752C9">
        <w:rPr>
          <w:rFonts w:ascii="Calibri" w:hAnsi="Calibri" w:cs="Calibri"/>
          <w:sz w:val="24"/>
          <w:szCs w:val="24"/>
        </w:rPr>
        <w:t xml:space="preserve"> problematiche finanziarie incontrate </w:t>
      </w:r>
      <w:r w:rsidR="00DB02EE">
        <w:rPr>
          <w:rFonts w:ascii="Calibri" w:hAnsi="Calibri" w:cs="Calibri"/>
          <w:sz w:val="24"/>
          <w:szCs w:val="24"/>
        </w:rPr>
        <w:t>dalla società partner tedesca</w:t>
      </w:r>
      <w:r w:rsidR="00A343BA">
        <w:rPr>
          <w:rFonts w:ascii="Calibri" w:hAnsi="Calibri" w:cs="Calibri"/>
          <w:sz w:val="24"/>
          <w:szCs w:val="24"/>
        </w:rPr>
        <w:t>,</w:t>
      </w:r>
      <w:r w:rsidR="006E5218">
        <w:rPr>
          <w:rFonts w:ascii="Calibri" w:hAnsi="Calibri" w:cs="Calibri"/>
          <w:sz w:val="24"/>
          <w:szCs w:val="24"/>
        </w:rPr>
        <w:t xml:space="preserve"> che hanno condizionato le forniture dell’azienda italiana</w:t>
      </w:r>
      <w:r w:rsidR="00A343BA">
        <w:rPr>
          <w:rFonts w:ascii="Calibri" w:hAnsi="Calibri" w:cs="Calibri"/>
          <w:sz w:val="24"/>
          <w:szCs w:val="24"/>
        </w:rPr>
        <w:t>.</w:t>
      </w:r>
      <w:r w:rsidR="000752C9">
        <w:rPr>
          <w:rFonts w:ascii="Calibri" w:hAnsi="Calibri" w:cs="Calibri"/>
          <w:sz w:val="24"/>
          <w:szCs w:val="24"/>
        </w:rPr>
        <w:t xml:space="preserve"> </w:t>
      </w:r>
      <w:r w:rsidR="00CB77A4">
        <w:rPr>
          <w:rFonts w:ascii="Calibri" w:hAnsi="Calibri" w:cs="Calibri"/>
          <w:sz w:val="24"/>
          <w:szCs w:val="24"/>
        </w:rPr>
        <w:t>A</w:t>
      </w:r>
      <w:r w:rsidR="00F56555">
        <w:rPr>
          <w:rFonts w:ascii="Calibri" w:hAnsi="Calibri" w:cs="Calibri"/>
          <w:sz w:val="24"/>
          <w:szCs w:val="24"/>
        </w:rPr>
        <w:t xml:space="preserve"> febbraio 2022 </w:t>
      </w:r>
      <w:r w:rsidR="00A343BA">
        <w:rPr>
          <w:rFonts w:ascii="Calibri" w:hAnsi="Calibri" w:cs="Calibri"/>
          <w:sz w:val="24"/>
          <w:szCs w:val="24"/>
        </w:rPr>
        <w:t xml:space="preserve">veniva </w:t>
      </w:r>
      <w:r w:rsidR="00F56555">
        <w:rPr>
          <w:rFonts w:ascii="Calibri" w:hAnsi="Calibri" w:cs="Calibri"/>
          <w:sz w:val="24"/>
          <w:szCs w:val="24"/>
        </w:rPr>
        <w:t xml:space="preserve">disposta l’omologazione </w:t>
      </w:r>
      <w:r w:rsidR="00A343BA">
        <w:rPr>
          <w:rFonts w:ascii="Calibri" w:hAnsi="Calibri" w:cs="Calibri"/>
          <w:sz w:val="24"/>
          <w:szCs w:val="24"/>
        </w:rPr>
        <w:t xml:space="preserve">del concordato </w:t>
      </w:r>
      <w:r w:rsidR="00F56555">
        <w:rPr>
          <w:rFonts w:ascii="Calibri" w:hAnsi="Calibri" w:cs="Calibri"/>
          <w:sz w:val="24"/>
          <w:szCs w:val="24"/>
        </w:rPr>
        <w:t>da</w:t>
      </w:r>
      <w:r w:rsidR="00A343BA">
        <w:rPr>
          <w:rFonts w:ascii="Calibri" w:hAnsi="Calibri" w:cs="Calibri"/>
          <w:sz w:val="24"/>
          <w:szCs w:val="24"/>
        </w:rPr>
        <w:t xml:space="preserve"> parte de</w:t>
      </w:r>
      <w:r w:rsidR="00F56555">
        <w:rPr>
          <w:rFonts w:ascii="Calibri" w:hAnsi="Calibri" w:cs="Calibri"/>
          <w:sz w:val="24"/>
          <w:szCs w:val="24"/>
        </w:rPr>
        <w:t>l tribunale di Brescia e cominciava il rimborso dei debiti, anche grazie all</w:t>
      </w:r>
      <w:r w:rsidR="00A343BA">
        <w:rPr>
          <w:rFonts w:ascii="Calibri" w:hAnsi="Calibri" w:cs="Calibri"/>
          <w:sz w:val="24"/>
          <w:szCs w:val="24"/>
        </w:rPr>
        <w:t>a</w:t>
      </w:r>
      <w:r w:rsidR="00F56555">
        <w:rPr>
          <w:rFonts w:ascii="Calibri" w:hAnsi="Calibri" w:cs="Calibri"/>
          <w:sz w:val="24"/>
          <w:szCs w:val="24"/>
        </w:rPr>
        <w:t xml:space="preserve"> ricapitalizzazion</w:t>
      </w:r>
      <w:r w:rsidR="00A343BA">
        <w:rPr>
          <w:rFonts w:ascii="Calibri" w:hAnsi="Calibri" w:cs="Calibri"/>
          <w:sz w:val="24"/>
          <w:szCs w:val="24"/>
        </w:rPr>
        <w:t>e</w:t>
      </w:r>
      <w:r w:rsidR="002E6EC9">
        <w:rPr>
          <w:rFonts w:ascii="Calibri" w:hAnsi="Calibri" w:cs="Calibri"/>
          <w:sz w:val="24"/>
          <w:szCs w:val="24"/>
        </w:rPr>
        <w:t xml:space="preserve"> </w:t>
      </w:r>
      <w:r w:rsidR="00F56555">
        <w:rPr>
          <w:rFonts w:ascii="Calibri" w:hAnsi="Calibri" w:cs="Calibri"/>
          <w:sz w:val="24"/>
          <w:szCs w:val="24"/>
        </w:rPr>
        <w:t>effettuat</w:t>
      </w:r>
      <w:r w:rsidR="00C00C3F">
        <w:rPr>
          <w:rFonts w:ascii="Calibri" w:hAnsi="Calibri" w:cs="Calibri"/>
          <w:sz w:val="24"/>
          <w:szCs w:val="24"/>
        </w:rPr>
        <w:t>a</w:t>
      </w:r>
      <w:r w:rsidR="00F56555">
        <w:rPr>
          <w:rFonts w:ascii="Calibri" w:hAnsi="Calibri" w:cs="Calibri"/>
          <w:sz w:val="24"/>
          <w:szCs w:val="24"/>
        </w:rPr>
        <w:t xml:space="preserve"> da</w:t>
      </w:r>
      <w:r>
        <w:rPr>
          <w:rFonts w:ascii="Calibri" w:hAnsi="Calibri" w:cs="Calibri"/>
          <w:sz w:val="24"/>
          <w:szCs w:val="24"/>
        </w:rPr>
        <w:t xml:space="preserve">l nuovo azionista </w:t>
      </w:r>
      <w:r w:rsidR="007C7C8D">
        <w:rPr>
          <w:rFonts w:ascii="Calibri" w:hAnsi="Calibri" w:cs="Calibri"/>
          <w:sz w:val="24"/>
          <w:szCs w:val="24"/>
        </w:rPr>
        <w:t xml:space="preserve">di maggioranza </w:t>
      </w:r>
      <w:proofErr w:type="spellStart"/>
      <w:r w:rsidR="00F56555" w:rsidRPr="00D02D3F">
        <w:rPr>
          <w:rFonts w:ascii="Calibri" w:hAnsi="Calibri" w:cs="Calibri"/>
          <w:b/>
          <w:bCs/>
          <w:sz w:val="24"/>
          <w:szCs w:val="24"/>
        </w:rPr>
        <w:t>Spring</w:t>
      </w:r>
      <w:r w:rsidR="007C7C8D">
        <w:rPr>
          <w:rFonts w:ascii="Calibri" w:hAnsi="Calibri" w:cs="Calibri"/>
          <w:b/>
          <w:bCs/>
          <w:sz w:val="24"/>
          <w:szCs w:val="24"/>
        </w:rPr>
        <w:t>w</w:t>
      </w:r>
      <w:r w:rsidR="00F56555" w:rsidRPr="00D02D3F">
        <w:rPr>
          <w:rFonts w:ascii="Calibri" w:hAnsi="Calibri" w:cs="Calibri"/>
          <w:b/>
          <w:bCs/>
          <w:sz w:val="24"/>
          <w:szCs w:val="24"/>
        </w:rPr>
        <w:t>ater</w:t>
      </w:r>
      <w:proofErr w:type="spellEnd"/>
      <w:r w:rsidR="00F56555" w:rsidRPr="00D02D3F">
        <w:rPr>
          <w:rFonts w:ascii="Calibri" w:hAnsi="Calibri" w:cs="Calibri"/>
          <w:b/>
          <w:bCs/>
          <w:sz w:val="24"/>
          <w:szCs w:val="24"/>
        </w:rPr>
        <w:t xml:space="preserve"> Capital</w:t>
      </w:r>
      <w:r>
        <w:rPr>
          <w:rFonts w:ascii="Calibri" w:hAnsi="Calibri" w:cs="Calibri"/>
          <w:sz w:val="24"/>
          <w:szCs w:val="24"/>
        </w:rPr>
        <w:t xml:space="preserve"> </w:t>
      </w:r>
      <w:r w:rsidR="002E6EC9">
        <w:rPr>
          <w:rFonts w:ascii="Calibri" w:hAnsi="Calibri" w:cs="Calibri"/>
          <w:sz w:val="24"/>
          <w:szCs w:val="24"/>
        </w:rPr>
        <w:t xml:space="preserve">e alle linee di </w:t>
      </w:r>
      <w:r w:rsidR="00CB77A4">
        <w:rPr>
          <w:rFonts w:ascii="Calibri" w:hAnsi="Calibri" w:cs="Calibri"/>
          <w:sz w:val="24"/>
          <w:szCs w:val="24"/>
        </w:rPr>
        <w:t xml:space="preserve">credito </w:t>
      </w:r>
      <w:r>
        <w:rPr>
          <w:rFonts w:ascii="Calibri" w:hAnsi="Calibri" w:cs="Calibri"/>
          <w:sz w:val="24"/>
          <w:szCs w:val="24"/>
        </w:rPr>
        <w:t>concesse</w:t>
      </w:r>
      <w:r w:rsidR="002E6EC9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2E6EC9">
        <w:rPr>
          <w:rFonts w:ascii="Calibri" w:hAnsi="Calibri" w:cs="Calibri"/>
          <w:sz w:val="24"/>
          <w:szCs w:val="24"/>
        </w:rPr>
        <w:t>Illimity</w:t>
      </w:r>
      <w:proofErr w:type="spellEnd"/>
      <w:r w:rsidR="00B60A5D">
        <w:rPr>
          <w:rFonts w:ascii="Calibri" w:hAnsi="Calibri" w:cs="Calibri"/>
          <w:sz w:val="24"/>
          <w:szCs w:val="24"/>
        </w:rPr>
        <w:t>,</w:t>
      </w:r>
      <w:r w:rsidR="00597DC5" w:rsidRPr="00597DC5">
        <w:rPr>
          <w:rFonts w:ascii="Calibri" w:hAnsi="Calibri" w:cs="Calibri"/>
          <w:sz w:val="24"/>
          <w:szCs w:val="24"/>
        </w:rPr>
        <w:t xml:space="preserve"> </w:t>
      </w:r>
      <w:r w:rsidR="00597DC5">
        <w:rPr>
          <w:rFonts w:ascii="Calibri" w:hAnsi="Calibri" w:cs="Calibri"/>
          <w:sz w:val="24"/>
          <w:szCs w:val="24"/>
        </w:rPr>
        <w:t xml:space="preserve">complessivamente pari a </w:t>
      </w:r>
      <w:r w:rsidR="00597DC5">
        <w:rPr>
          <w:rFonts w:ascii="Calibri" w:hAnsi="Calibri" w:cs="Calibri"/>
          <w:b/>
          <w:bCs/>
          <w:sz w:val="24"/>
          <w:szCs w:val="24"/>
        </w:rPr>
        <w:t>4</w:t>
      </w:r>
      <w:r w:rsidR="007C7C8D">
        <w:rPr>
          <w:rFonts w:ascii="Calibri" w:hAnsi="Calibri" w:cs="Calibri"/>
          <w:b/>
          <w:bCs/>
          <w:sz w:val="24"/>
          <w:szCs w:val="24"/>
        </w:rPr>
        <w:t>3</w:t>
      </w:r>
      <w:r w:rsidR="00597DC5" w:rsidRPr="001A2318">
        <w:rPr>
          <w:rFonts w:ascii="Calibri" w:hAnsi="Calibri" w:cs="Calibri"/>
          <w:b/>
          <w:bCs/>
          <w:sz w:val="24"/>
          <w:szCs w:val="24"/>
        </w:rPr>
        <w:t xml:space="preserve"> milioni di euro</w:t>
      </w:r>
      <w:r w:rsidR="00F56555">
        <w:rPr>
          <w:rFonts w:ascii="Calibri" w:hAnsi="Calibri" w:cs="Calibri"/>
          <w:sz w:val="24"/>
          <w:szCs w:val="24"/>
        </w:rPr>
        <w:t>. A</w:t>
      </w:r>
      <w:r w:rsidR="00835BF5">
        <w:rPr>
          <w:rFonts w:ascii="Calibri" w:hAnsi="Calibri" w:cs="Calibri"/>
          <w:sz w:val="24"/>
          <w:szCs w:val="24"/>
        </w:rPr>
        <w:t xml:space="preserve"> </w:t>
      </w:r>
      <w:r w:rsidR="00F56555">
        <w:rPr>
          <w:rFonts w:ascii="Calibri" w:hAnsi="Calibri" w:cs="Calibri"/>
          <w:sz w:val="24"/>
          <w:szCs w:val="24"/>
        </w:rPr>
        <w:t>dicembre</w:t>
      </w:r>
      <w:r w:rsidR="00835BF5">
        <w:rPr>
          <w:rFonts w:ascii="Calibri" w:hAnsi="Calibri" w:cs="Calibri"/>
          <w:sz w:val="24"/>
          <w:szCs w:val="24"/>
        </w:rPr>
        <w:t xml:space="preserve"> 202</w:t>
      </w:r>
      <w:r w:rsidR="00F56555">
        <w:rPr>
          <w:rFonts w:ascii="Calibri" w:hAnsi="Calibri" w:cs="Calibri"/>
          <w:sz w:val="24"/>
          <w:szCs w:val="24"/>
        </w:rPr>
        <w:t xml:space="preserve">3 </w:t>
      </w:r>
      <w:r w:rsidR="00CB77A4">
        <w:rPr>
          <w:rFonts w:ascii="Calibri" w:hAnsi="Calibri" w:cs="Calibri"/>
          <w:sz w:val="24"/>
          <w:szCs w:val="24"/>
        </w:rPr>
        <w:t xml:space="preserve">sono </w:t>
      </w:r>
      <w:r w:rsidR="00F56555">
        <w:rPr>
          <w:rFonts w:ascii="Calibri" w:hAnsi="Calibri" w:cs="Calibri"/>
          <w:sz w:val="24"/>
          <w:szCs w:val="24"/>
        </w:rPr>
        <w:t>stati inte</w:t>
      </w:r>
      <w:r w:rsidR="00CB77A4">
        <w:rPr>
          <w:rFonts w:ascii="Calibri" w:hAnsi="Calibri" w:cs="Calibri"/>
          <w:sz w:val="24"/>
          <w:szCs w:val="24"/>
        </w:rPr>
        <w:t>g</w:t>
      </w:r>
      <w:r w:rsidR="00F56555">
        <w:rPr>
          <w:rFonts w:ascii="Calibri" w:hAnsi="Calibri" w:cs="Calibri"/>
          <w:sz w:val="24"/>
          <w:szCs w:val="24"/>
        </w:rPr>
        <w:t>ra</w:t>
      </w:r>
      <w:r w:rsidR="00CB77A4">
        <w:rPr>
          <w:rFonts w:ascii="Calibri" w:hAnsi="Calibri" w:cs="Calibri"/>
          <w:sz w:val="24"/>
          <w:szCs w:val="24"/>
        </w:rPr>
        <w:t>l</w:t>
      </w:r>
      <w:r w:rsidR="00F56555">
        <w:rPr>
          <w:rFonts w:ascii="Calibri" w:hAnsi="Calibri" w:cs="Calibri"/>
          <w:sz w:val="24"/>
          <w:szCs w:val="24"/>
        </w:rPr>
        <w:t>mente ripagati tutti i creditori concordat</w:t>
      </w:r>
      <w:r w:rsidR="002E6EC9">
        <w:rPr>
          <w:rFonts w:ascii="Calibri" w:hAnsi="Calibri" w:cs="Calibri"/>
          <w:sz w:val="24"/>
          <w:szCs w:val="24"/>
        </w:rPr>
        <w:t>a</w:t>
      </w:r>
      <w:r w:rsidR="00F56555">
        <w:rPr>
          <w:rFonts w:ascii="Calibri" w:hAnsi="Calibri" w:cs="Calibri"/>
          <w:sz w:val="24"/>
          <w:szCs w:val="24"/>
        </w:rPr>
        <w:t>ri.</w:t>
      </w:r>
      <w:r w:rsidR="002E6EC9">
        <w:rPr>
          <w:rFonts w:ascii="Calibri" w:hAnsi="Calibri" w:cs="Calibri"/>
          <w:sz w:val="24"/>
          <w:szCs w:val="24"/>
        </w:rPr>
        <w:t xml:space="preserve"> </w:t>
      </w:r>
    </w:p>
    <w:p w14:paraId="7BF4651B" w14:textId="77777777" w:rsidR="00640BB7" w:rsidRDefault="00640BB7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14D6A652" w14:textId="3BBFFA05" w:rsidR="00835BF5" w:rsidRDefault="002E6EC9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Nel giudizio positivo finale emesso dai commissari, particolare importanza assume il progressivo e costante miglioramento dei risultati economici nel triennio 2021-2023, con </w:t>
      </w:r>
      <w:r w:rsidRPr="00835444">
        <w:rPr>
          <w:rFonts w:ascii="Calibri" w:hAnsi="Calibri" w:cs="Calibri"/>
          <w:b/>
          <w:bCs/>
          <w:sz w:val="24"/>
          <w:szCs w:val="24"/>
        </w:rPr>
        <w:t xml:space="preserve">ricavi </w:t>
      </w:r>
      <w:r w:rsidR="00835444" w:rsidRPr="00835444">
        <w:rPr>
          <w:rFonts w:ascii="Calibri" w:hAnsi="Calibri" w:cs="Calibri"/>
          <w:b/>
          <w:bCs/>
          <w:sz w:val="24"/>
          <w:szCs w:val="24"/>
        </w:rPr>
        <w:t xml:space="preserve">che a fine 2023 supereranno i </w:t>
      </w:r>
      <w:r w:rsidRPr="00835444">
        <w:rPr>
          <w:rFonts w:ascii="Calibri" w:hAnsi="Calibri" w:cs="Calibri"/>
          <w:b/>
          <w:bCs/>
          <w:sz w:val="24"/>
          <w:szCs w:val="24"/>
        </w:rPr>
        <w:t>38</w:t>
      </w:r>
      <w:r w:rsidR="00835444" w:rsidRPr="00835444">
        <w:rPr>
          <w:rFonts w:ascii="Calibri" w:hAnsi="Calibri" w:cs="Calibri"/>
          <w:b/>
          <w:bCs/>
          <w:sz w:val="24"/>
          <w:szCs w:val="24"/>
        </w:rPr>
        <w:t>5</w:t>
      </w:r>
      <w:r w:rsidRPr="00835444">
        <w:rPr>
          <w:rFonts w:ascii="Calibri" w:hAnsi="Calibri" w:cs="Calibri"/>
          <w:b/>
          <w:bCs/>
          <w:sz w:val="24"/>
          <w:szCs w:val="24"/>
        </w:rPr>
        <w:t xml:space="preserve"> milioni</w:t>
      </w:r>
      <w:r w:rsidR="00835444" w:rsidRPr="00835444">
        <w:rPr>
          <w:rFonts w:ascii="Calibri" w:hAnsi="Calibri" w:cs="Calibri"/>
          <w:b/>
          <w:bCs/>
          <w:sz w:val="24"/>
          <w:szCs w:val="24"/>
        </w:rPr>
        <w:t xml:space="preserve"> di euro</w:t>
      </w:r>
      <w:r>
        <w:rPr>
          <w:rFonts w:ascii="Calibri" w:hAnsi="Calibri" w:cs="Calibri"/>
          <w:sz w:val="24"/>
          <w:szCs w:val="24"/>
        </w:rPr>
        <w:t xml:space="preserve">, e il solido piano industriale volto a un efficientamento dei costi logistici e all’incremento di marginalità e flussi di cassa. Tutto questo ha consentito l’uscita anticipata </w:t>
      </w:r>
      <w:r w:rsidR="00B52B32">
        <w:rPr>
          <w:rFonts w:ascii="Calibri" w:hAnsi="Calibri" w:cs="Calibri"/>
          <w:sz w:val="24"/>
          <w:szCs w:val="24"/>
        </w:rPr>
        <w:t xml:space="preserve">di Fintyre </w:t>
      </w:r>
      <w:r>
        <w:rPr>
          <w:rFonts w:ascii="Calibri" w:hAnsi="Calibri" w:cs="Calibri"/>
          <w:sz w:val="24"/>
          <w:szCs w:val="24"/>
        </w:rPr>
        <w:t>dal concordato in meno di due anni</w:t>
      </w:r>
      <w:r w:rsidR="00647C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anziché i tre originariamente previsti dal decreto di omologa</w:t>
      </w:r>
      <w:r w:rsidR="00647CF9">
        <w:rPr>
          <w:rFonts w:ascii="Calibri" w:hAnsi="Calibri" w:cs="Calibri"/>
          <w:sz w:val="24"/>
          <w:szCs w:val="24"/>
        </w:rPr>
        <w:t xml:space="preserve">, e la rinnovata fiducia degli investitori, confermata dalla </w:t>
      </w:r>
      <w:r w:rsidR="00A343BA">
        <w:rPr>
          <w:rFonts w:ascii="Calibri" w:hAnsi="Calibri" w:cs="Calibri"/>
          <w:sz w:val="24"/>
          <w:szCs w:val="24"/>
        </w:rPr>
        <w:t xml:space="preserve">concessione </w:t>
      </w:r>
      <w:r w:rsidR="00647CF9">
        <w:rPr>
          <w:rFonts w:ascii="Calibri" w:hAnsi="Calibri" w:cs="Calibri"/>
          <w:sz w:val="24"/>
          <w:szCs w:val="24"/>
        </w:rPr>
        <w:t>del finanziamento di Banco BPM</w:t>
      </w:r>
      <w:r>
        <w:rPr>
          <w:rFonts w:ascii="Calibri" w:hAnsi="Calibri" w:cs="Calibri"/>
          <w:sz w:val="24"/>
          <w:szCs w:val="24"/>
        </w:rPr>
        <w:t>.</w:t>
      </w:r>
    </w:p>
    <w:p w14:paraId="16B80B5B" w14:textId="77777777" w:rsidR="00017DD9" w:rsidRPr="00B6668C" w:rsidRDefault="00017DD9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6E72D213" w14:textId="0D502A78" w:rsidR="00255FB6" w:rsidRDefault="00017DD9" w:rsidP="0041088D">
      <w:pPr>
        <w:pStyle w:val="Testonormale"/>
        <w:ind w:right="-8"/>
        <w:jc w:val="both"/>
        <w:rPr>
          <w:rFonts w:ascii="Calibri" w:hAnsi="Calibri" w:cs="Calibri"/>
          <w:i/>
          <w:iCs/>
          <w:sz w:val="24"/>
          <w:szCs w:val="24"/>
        </w:rPr>
      </w:pPr>
      <w:r w:rsidRPr="00B6668C">
        <w:rPr>
          <w:rFonts w:ascii="Calibri" w:hAnsi="Calibri" w:cs="Calibri"/>
          <w:sz w:val="24"/>
          <w:szCs w:val="24"/>
        </w:rPr>
        <w:lastRenderedPageBreak/>
        <w:t>“</w:t>
      </w:r>
      <w:r w:rsidRPr="00B6668C">
        <w:rPr>
          <w:rFonts w:ascii="Calibri" w:hAnsi="Calibri" w:cs="Calibri"/>
          <w:i/>
          <w:iCs/>
          <w:sz w:val="24"/>
          <w:szCs w:val="24"/>
        </w:rPr>
        <w:t>La chiusura anticipata del concordato</w:t>
      </w:r>
      <w:r w:rsidR="0041088D">
        <w:rPr>
          <w:rFonts w:ascii="Calibri" w:hAnsi="Calibri" w:cs="Calibri"/>
          <w:i/>
          <w:iCs/>
          <w:sz w:val="24"/>
          <w:szCs w:val="24"/>
        </w:rPr>
        <w:t xml:space="preserve"> –</w:t>
      </w:r>
      <w:r w:rsidRPr="00B6668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1088D" w:rsidRPr="00B6668C">
        <w:rPr>
          <w:rFonts w:ascii="Calibri" w:hAnsi="Calibri" w:cs="Calibri"/>
          <w:sz w:val="24"/>
          <w:szCs w:val="24"/>
        </w:rPr>
        <w:t xml:space="preserve">afferma </w:t>
      </w:r>
      <w:r w:rsidR="0041088D" w:rsidRPr="00B52B32">
        <w:rPr>
          <w:rFonts w:ascii="Calibri" w:hAnsi="Calibri" w:cs="Calibri"/>
          <w:b/>
          <w:bCs/>
          <w:sz w:val="24"/>
          <w:szCs w:val="24"/>
        </w:rPr>
        <w:t>Mattia Franchi, amministratore delegato di Fintyre</w:t>
      </w:r>
      <w:r w:rsidR="0041088D" w:rsidRPr="00B6668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1088D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Pr="00B6668C">
        <w:rPr>
          <w:rFonts w:ascii="Calibri" w:hAnsi="Calibri" w:cs="Calibri"/>
          <w:i/>
          <w:iCs/>
          <w:sz w:val="24"/>
          <w:szCs w:val="24"/>
        </w:rPr>
        <w:t>e il finanziamento di Banco BPM</w:t>
      </w:r>
      <w:r w:rsidR="0086298E" w:rsidRPr="00B6668C">
        <w:rPr>
          <w:rFonts w:ascii="Calibri" w:hAnsi="Calibri" w:cs="Calibri"/>
          <w:i/>
          <w:iCs/>
          <w:sz w:val="24"/>
          <w:szCs w:val="24"/>
        </w:rPr>
        <w:t>, uno degli istituti di credito più importanti d’Italia,</w:t>
      </w:r>
      <w:r w:rsidRPr="00B6668C">
        <w:rPr>
          <w:rFonts w:ascii="Calibri" w:hAnsi="Calibri" w:cs="Calibri"/>
          <w:i/>
          <w:iCs/>
          <w:sz w:val="24"/>
          <w:szCs w:val="24"/>
        </w:rPr>
        <w:t xml:space="preserve"> rappresentano per noi due risultati </w:t>
      </w:r>
      <w:r w:rsidR="00F178FF" w:rsidRPr="00B6668C">
        <w:rPr>
          <w:rFonts w:ascii="Calibri" w:hAnsi="Calibri" w:cs="Calibri"/>
          <w:i/>
          <w:iCs/>
          <w:sz w:val="24"/>
          <w:szCs w:val="24"/>
        </w:rPr>
        <w:t>fondamentali</w:t>
      </w:r>
      <w:r w:rsidRPr="00B6668C">
        <w:rPr>
          <w:rFonts w:ascii="Calibri" w:hAnsi="Calibri" w:cs="Calibri"/>
          <w:i/>
          <w:iCs/>
          <w:sz w:val="24"/>
          <w:szCs w:val="24"/>
        </w:rPr>
        <w:t xml:space="preserve"> e la conferma dell’ottimo lavoro </w:t>
      </w:r>
      <w:r w:rsidR="00483856" w:rsidRPr="00B6668C">
        <w:rPr>
          <w:rFonts w:ascii="Calibri" w:hAnsi="Calibri" w:cs="Calibri"/>
          <w:i/>
          <w:iCs/>
          <w:sz w:val="24"/>
          <w:szCs w:val="24"/>
        </w:rPr>
        <w:t>fatto n</w:t>
      </w:r>
      <w:r w:rsidRPr="00B6668C">
        <w:rPr>
          <w:rFonts w:ascii="Calibri" w:hAnsi="Calibri" w:cs="Calibri"/>
          <w:i/>
          <w:iCs/>
          <w:sz w:val="24"/>
          <w:szCs w:val="24"/>
        </w:rPr>
        <w:t>egli ultimi anni</w:t>
      </w:r>
      <w:r w:rsidR="0041088D">
        <w:rPr>
          <w:rFonts w:ascii="Calibri" w:hAnsi="Calibri" w:cs="Calibri"/>
          <w:i/>
          <w:iCs/>
          <w:sz w:val="24"/>
          <w:szCs w:val="24"/>
        </w:rPr>
        <w:t>,</w:t>
      </w:r>
      <w:r w:rsidRPr="00B6668C">
        <w:rPr>
          <w:rFonts w:ascii="Calibri" w:hAnsi="Calibri" w:cs="Calibri"/>
          <w:i/>
          <w:iCs/>
          <w:sz w:val="24"/>
          <w:szCs w:val="24"/>
        </w:rPr>
        <w:t xml:space="preserve"> per </w:t>
      </w:r>
      <w:r w:rsidR="00483856" w:rsidRPr="00B6668C">
        <w:rPr>
          <w:rFonts w:ascii="Calibri" w:hAnsi="Calibri" w:cs="Calibri"/>
          <w:i/>
          <w:iCs/>
          <w:sz w:val="24"/>
          <w:szCs w:val="24"/>
        </w:rPr>
        <w:t>rilanciare l’azienda dopo le difficoltà degli anni della pandemi</w:t>
      </w:r>
      <w:r w:rsidR="00133910" w:rsidRPr="00B6668C">
        <w:rPr>
          <w:rFonts w:ascii="Calibri" w:hAnsi="Calibri" w:cs="Calibri"/>
          <w:i/>
          <w:iCs/>
          <w:sz w:val="24"/>
          <w:szCs w:val="24"/>
        </w:rPr>
        <w:t xml:space="preserve">a. </w:t>
      </w:r>
      <w:r w:rsidR="0041088D">
        <w:rPr>
          <w:rFonts w:ascii="Calibri" w:hAnsi="Calibri" w:cs="Calibri"/>
          <w:i/>
          <w:iCs/>
          <w:sz w:val="24"/>
          <w:szCs w:val="24"/>
        </w:rPr>
        <w:t xml:space="preserve">Un doveroso ringraziamento al nostro Azionista, che ha sempre garantito il necessario supporto, </w:t>
      </w:r>
      <w:r w:rsidR="00255FB6">
        <w:rPr>
          <w:rFonts w:ascii="Calibri" w:hAnsi="Calibri" w:cs="Calibri"/>
          <w:i/>
          <w:iCs/>
          <w:sz w:val="24"/>
          <w:szCs w:val="24"/>
        </w:rPr>
        <w:t>alla nostra forza vendite</w:t>
      </w:r>
      <w:r w:rsidR="00276BE4">
        <w:rPr>
          <w:rFonts w:ascii="Calibri" w:hAnsi="Calibri" w:cs="Calibri"/>
          <w:i/>
          <w:iCs/>
          <w:sz w:val="24"/>
          <w:szCs w:val="24"/>
        </w:rPr>
        <w:t xml:space="preserve"> e</w:t>
      </w:r>
      <w:r w:rsidR="00255FB6">
        <w:rPr>
          <w:rFonts w:ascii="Calibri" w:hAnsi="Calibri" w:cs="Calibri"/>
          <w:i/>
          <w:iCs/>
          <w:sz w:val="24"/>
          <w:szCs w:val="24"/>
        </w:rPr>
        <w:t xml:space="preserve"> ai nostri dipendenti che hanno creduto nelle potenzialità di rilancio del nostro Gruppo e a tutti i professionisti e collaboratori del Gruppo.</w:t>
      </w:r>
    </w:p>
    <w:p w14:paraId="73132818" w14:textId="7E723691" w:rsidR="0041088D" w:rsidRDefault="00255FB6" w:rsidP="0041088D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Uno speciale grazie </w:t>
      </w:r>
      <w:r w:rsidR="0041088D">
        <w:rPr>
          <w:rFonts w:ascii="Calibri" w:hAnsi="Calibri" w:cs="Calibri"/>
          <w:i/>
          <w:iCs/>
          <w:sz w:val="24"/>
          <w:szCs w:val="24"/>
        </w:rPr>
        <w:t xml:space="preserve">anche </w:t>
      </w:r>
      <w:r w:rsidR="00133910" w:rsidRPr="00B6668C">
        <w:rPr>
          <w:rFonts w:ascii="Calibri" w:hAnsi="Calibri" w:cs="Calibri"/>
          <w:i/>
          <w:iCs/>
          <w:sz w:val="24"/>
          <w:szCs w:val="24"/>
        </w:rPr>
        <w:t>a Banco BPM per l</w:t>
      </w:r>
      <w:r w:rsidR="00647CF9">
        <w:rPr>
          <w:rFonts w:ascii="Calibri" w:hAnsi="Calibri" w:cs="Calibri"/>
          <w:i/>
          <w:iCs/>
          <w:sz w:val="24"/>
          <w:szCs w:val="24"/>
        </w:rPr>
        <w:t>a rinnovata fiducia al</w:t>
      </w:r>
      <w:r w:rsidR="00133910" w:rsidRPr="00B6668C">
        <w:rPr>
          <w:rFonts w:ascii="Calibri" w:hAnsi="Calibri" w:cs="Calibri"/>
          <w:i/>
          <w:iCs/>
          <w:sz w:val="24"/>
          <w:szCs w:val="24"/>
        </w:rPr>
        <w:t xml:space="preserve"> nostro progetto</w:t>
      </w:r>
      <w:r w:rsidR="00647CF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1088D">
        <w:rPr>
          <w:rFonts w:ascii="Calibri" w:hAnsi="Calibri" w:cs="Calibri"/>
          <w:i/>
          <w:iCs/>
          <w:sz w:val="24"/>
          <w:szCs w:val="24"/>
        </w:rPr>
        <w:t>di sviluppo</w:t>
      </w:r>
      <w:r>
        <w:rPr>
          <w:rFonts w:ascii="Calibri" w:hAnsi="Calibri" w:cs="Calibri"/>
          <w:i/>
          <w:iCs/>
          <w:sz w:val="24"/>
          <w:szCs w:val="24"/>
        </w:rPr>
        <w:t xml:space="preserve"> e per il supporto che sicuramente sarà in grado di darci</w:t>
      </w:r>
      <w:r w:rsidR="00483856" w:rsidRPr="00B6668C">
        <w:rPr>
          <w:rFonts w:ascii="Calibri" w:hAnsi="Calibri" w:cs="Calibri"/>
          <w:sz w:val="24"/>
          <w:szCs w:val="24"/>
        </w:rPr>
        <w:t xml:space="preserve">. </w:t>
      </w:r>
    </w:p>
    <w:p w14:paraId="6E31A2DB" w14:textId="77777777" w:rsidR="0041088D" w:rsidRDefault="0041088D" w:rsidP="0041088D">
      <w:pPr>
        <w:pStyle w:val="Testonormale"/>
        <w:ind w:right="-8"/>
        <w:jc w:val="both"/>
        <w:rPr>
          <w:rFonts w:ascii="Calibri" w:hAnsi="Calibri" w:cs="Calibri"/>
          <w:i/>
          <w:iCs/>
          <w:sz w:val="24"/>
          <w:szCs w:val="24"/>
        </w:rPr>
      </w:pPr>
      <w:r w:rsidRPr="00835444">
        <w:rPr>
          <w:rFonts w:ascii="Calibri" w:hAnsi="Calibri" w:cs="Calibri"/>
          <w:i/>
          <w:iCs/>
          <w:sz w:val="24"/>
          <w:szCs w:val="24"/>
        </w:rPr>
        <w:t>È</w:t>
      </w:r>
      <w:r>
        <w:rPr>
          <w:rFonts w:ascii="Calibri" w:hAnsi="Calibri" w:cs="Calibri"/>
          <w:i/>
          <w:iCs/>
          <w:sz w:val="24"/>
          <w:szCs w:val="24"/>
        </w:rPr>
        <w:t xml:space="preserve"> oggi</w:t>
      </w:r>
      <w:r w:rsidR="002D261C">
        <w:rPr>
          <w:rFonts w:ascii="Calibri" w:hAnsi="Calibri" w:cs="Calibri"/>
          <w:i/>
          <w:iCs/>
          <w:sz w:val="24"/>
          <w:szCs w:val="24"/>
        </w:rPr>
        <w:t xml:space="preserve"> possibile guardare con </w:t>
      </w:r>
      <w:r>
        <w:rPr>
          <w:rFonts w:ascii="Calibri" w:hAnsi="Calibri" w:cs="Calibri"/>
          <w:i/>
          <w:iCs/>
          <w:sz w:val="24"/>
          <w:szCs w:val="24"/>
        </w:rPr>
        <w:t xml:space="preserve">rinnovato </w:t>
      </w:r>
      <w:r w:rsidR="002D261C">
        <w:rPr>
          <w:rFonts w:ascii="Calibri" w:hAnsi="Calibri" w:cs="Calibri"/>
          <w:i/>
          <w:iCs/>
          <w:sz w:val="24"/>
          <w:szCs w:val="24"/>
        </w:rPr>
        <w:t xml:space="preserve">ottimismo al futuro del </w:t>
      </w:r>
      <w:r w:rsidR="00647CF9" w:rsidRPr="00835444">
        <w:rPr>
          <w:rFonts w:ascii="Calibri" w:hAnsi="Calibri" w:cs="Calibri"/>
          <w:i/>
          <w:iCs/>
          <w:sz w:val="24"/>
          <w:szCs w:val="24"/>
        </w:rPr>
        <w:t>Gruppo, prosegue</w:t>
      </w:r>
      <w:r w:rsidR="002D261C">
        <w:rPr>
          <w:rFonts w:ascii="Calibri" w:hAnsi="Calibri" w:cs="Calibri"/>
          <w:i/>
          <w:iCs/>
          <w:sz w:val="24"/>
          <w:szCs w:val="24"/>
        </w:rPr>
        <w:t>ndo</w:t>
      </w:r>
      <w:r w:rsidR="00647CF9" w:rsidRPr="00835444">
        <w:rPr>
          <w:rFonts w:ascii="Calibri" w:hAnsi="Calibri" w:cs="Calibri"/>
          <w:i/>
          <w:iCs/>
          <w:sz w:val="24"/>
          <w:szCs w:val="24"/>
        </w:rPr>
        <w:t xml:space="preserve"> il piano di rilancio aziendale intrapreso </w:t>
      </w:r>
      <w:r w:rsidR="002D261C">
        <w:rPr>
          <w:rFonts w:ascii="Calibri" w:hAnsi="Calibri" w:cs="Calibri"/>
          <w:i/>
          <w:iCs/>
          <w:sz w:val="24"/>
          <w:szCs w:val="24"/>
        </w:rPr>
        <w:t xml:space="preserve">negli scorsi anni e </w:t>
      </w:r>
      <w:r w:rsidR="00647CF9" w:rsidRPr="00835444">
        <w:rPr>
          <w:rFonts w:ascii="Calibri" w:hAnsi="Calibri" w:cs="Calibri"/>
          <w:i/>
          <w:iCs/>
          <w:sz w:val="24"/>
          <w:szCs w:val="24"/>
        </w:rPr>
        <w:t xml:space="preserve">che </w:t>
      </w:r>
      <w:r w:rsidR="002D261C">
        <w:rPr>
          <w:rFonts w:ascii="Calibri" w:hAnsi="Calibri" w:cs="Calibri"/>
          <w:i/>
          <w:iCs/>
          <w:sz w:val="24"/>
          <w:szCs w:val="24"/>
        </w:rPr>
        <w:t xml:space="preserve">ci ha permesso di ritornare a essere </w:t>
      </w:r>
      <w:r w:rsidR="00F178FF" w:rsidRPr="00B6668C">
        <w:rPr>
          <w:rFonts w:ascii="Calibri" w:hAnsi="Calibri" w:cs="Calibri"/>
          <w:i/>
          <w:iCs/>
          <w:sz w:val="24"/>
          <w:szCs w:val="24"/>
        </w:rPr>
        <w:t>il principale distributore italiano</w:t>
      </w:r>
      <w:r w:rsidR="002D261C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125AF446" w14:textId="7EA4537B" w:rsidR="00B52B32" w:rsidRDefault="002D261C" w:rsidP="0041088D">
      <w:pPr>
        <w:pStyle w:val="Testonormale"/>
        <w:ind w:right="-8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Ora s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iamo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 xml:space="preserve">pronti a </w:t>
      </w:r>
      <w:r>
        <w:rPr>
          <w:rFonts w:ascii="Calibri" w:hAnsi="Calibri" w:cs="Calibri"/>
          <w:i/>
          <w:iCs/>
          <w:sz w:val="24"/>
          <w:szCs w:val="24"/>
        </w:rPr>
        <w:t>concentrarci su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 xml:space="preserve"> nuovi </w:t>
      </w:r>
      <w:r>
        <w:rPr>
          <w:rFonts w:ascii="Calibri" w:hAnsi="Calibri" w:cs="Calibri"/>
          <w:i/>
          <w:iCs/>
          <w:sz w:val="24"/>
          <w:szCs w:val="24"/>
        </w:rPr>
        <w:t xml:space="preserve">progetti per 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i prossimi anni</w:t>
      </w:r>
      <w:r>
        <w:rPr>
          <w:rFonts w:ascii="Calibri" w:hAnsi="Calibri" w:cs="Calibri"/>
          <w:i/>
          <w:iCs/>
          <w:sz w:val="24"/>
          <w:szCs w:val="24"/>
        </w:rPr>
        <w:t xml:space="preserve">, con particolare riguardo alla finalizzazione di 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nuove partnership commerciali</w:t>
      </w:r>
      <w:r>
        <w:rPr>
          <w:rFonts w:ascii="Calibri" w:hAnsi="Calibri" w:cs="Calibri"/>
          <w:i/>
          <w:iCs/>
          <w:sz w:val="24"/>
          <w:szCs w:val="24"/>
        </w:rPr>
        <w:t xml:space="preserve"> e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 xml:space="preserve">l </w:t>
      </w:r>
      <w:r>
        <w:rPr>
          <w:rFonts w:ascii="Calibri" w:hAnsi="Calibri" w:cs="Calibri"/>
          <w:i/>
          <w:iCs/>
          <w:sz w:val="24"/>
          <w:szCs w:val="24"/>
        </w:rPr>
        <w:t xml:space="preserve">miglioramento dei 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livell</w:t>
      </w:r>
      <w:r>
        <w:rPr>
          <w:rFonts w:ascii="Calibri" w:hAnsi="Calibri" w:cs="Calibri"/>
          <w:i/>
          <w:iCs/>
          <w:sz w:val="24"/>
          <w:szCs w:val="24"/>
        </w:rPr>
        <w:t>i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 xml:space="preserve"> di servizio e </w:t>
      </w:r>
      <w:r>
        <w:rPr>
          <w:rFonts w:ascii="Calibri" w:hAnsi="Calibri" w:cs="Calibri"/>
          <w:i/>
          <w:iCs/>
          <w:sz w:val="24"/>
          <w:szCs w:val="24"/>
        </w:rPr>
        <w:t>de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i nostri parametri ESG</w:t>
      </w:r>
      <w:r>
        <w:rPr>
          <w:rFonts w:ascii="Calibri" w:hAnsi="Calibri" w:cs="Calibri"/>
          <w:i/>
          <w:iCs/>
          <w:sz w:val="24"/>
          <w:szCs w:val="24"/>
        </w:rPr>
        <w:t xml:space="preserve">. L’obiettivo è superare </w:t>
      </w:r>
      <w:r w:rsidR="00476D22" w:rsidRPr="00B6668C">
        <w:rPr>
          <w:rFonts w:ascii="Calibri" w:hAnsi="Calibri" w:cs="Calibri"/>
          <w:i/>
          <w:iCs/>
          <w:sz w:val="24"/>
          <w:szCs w:val="24"/>
        </w:rPr>
        <w:t>i 450 milioni di fatturat</w:t>
      </w:r>
      <w:r w:rsidR="00B52B32">
        <w:rPr>
          <w:rFonts w:ascii="Calibri" w:hAnsi="Calibri" w:cs="Calibri"/>
          <w:i/>
          <w:iCs/>
          <w:sz w:val="24"/>
          <w:szCs w:val="24"/>
        </w:rPr>
        <w:t>o</w:t>
      </w:r>
      <w:r w:rsidRPr="002D261C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entro il 202</w:t>
      </w:r>
      <w:r w:rsidR="00255FB6">
        <w:rPr>
          <w:rFonts w:ascii="Calibri" w:hAnsi="Calibri" w:cs="Calibri"/>
          <w:i/>
          <w:iCs/>
          <w:sz w:val="24"/>
          <w:szCs w:val="24"/>
        </w:rPr>
        <w:t>5</w:t>
      </w:r>
      <w:r w:rsidR="00B52B32">
        <w:rPr>
          <w:rFonts w:ascii="Calibri" w:hAnsi="Calibri" w:cs="Calibri"/>
          <w:i/>
          <w:iCs/>
          <w:sz w:val="24"/>
          <w:szCs w:val="24"/>
        </w:rPr>
        <w:t>”.</w:t>
      </w:r>
    </w:p>
    <w:p w14:paraId="7EA2ECF4" w14:textId="77777777" w:rsidR="00B52B32" w:rsidRPr="00835444" w:rsidRDefault="00B52B32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2004EA77" w14:textId="01846D8C" w:rsidR="00476D22" w:rsidRPr="00B6668C" w:rsidRDefault="006A3325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Parte del merito d</w:t>
      </w:r>
      <w:r w:rsidR="003876DE">
        <w:rPr>
          <w:rFonts w:ascii="Calibri" w:hAnsi="Calibri" w:cs="Calibri"/>
          <w:sz w:val="24"/>
          <w:szCs w:val="24"/>
        </w:rPr>
        <w:t xml:space="preserve">ella chiusura </w:t>
      </w:r>
      <w:r>
        <w:rPr>
          <w:rFonts w:ascii="Calibri" w:hAnsi="Calibri" w:cs="Calibri"/>
          <w:sz w:val="24"/>
          <w:szCs w:val="24"/>
        </w:rPr>
        <w:t xml:space="preserve">anticipata </w:t>
      </w:r>
      <w:r w:rsidR="003876DE">
        <w:rPr>
          <w:rFonts w:ascii="Calibri" w:hAnsi="Calibri" w:cs="Calibri"/>
          <w:sz w:val="24"/>
          <w:szCs w:val="24"/>
        </w:rPr>
        <w:t xml:space="preserve">del concordato </w:t>
      </w:r>
      <w:r w:rsidR="002D261C">
        <w:rPr>
          <w:rFonts w:ascii="Calibri" w:hAnsi="Calibri" w:cs="Calibri"/>
          <w:sz w:val="24"/>
          <w:szCs w:val="24"/>
        </w:rPr>
        <w:t>di Fintyre</w:t>
      </w:r>
      <w:r>
        <w:rPr>
          <w:rFonts w:ascii="Calibri" w:hAnsi="Calibri" w:cs="Calibri"/>
          <w:sz w:val="24"/>
          <w:szCs w:val="24"/>
        </w:rPr>
        <w:t xml:space="preserve"> è da ricercar</w:t>
      </w:r>
      <w:r w:rsidR="00640BB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nella solidità de</w:t>
      </w:r>
      <w:r w:rsidR="002D261C">
        <w:rPr>
          <w:rFonts w:ascii="Calibri" w:hAnsi="Calibri" w:cs="Calibri"/>
          <w:sz w:val="24"/>
          <w:szCs w:val="24"/>
        </w:rPr>
        <w:t>i rapporti</w:t>
      </w:r>
      <w:r w:rsidR="00B52B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dell’azienda</w:t>
      </w:r>
      <w:r w:rsidR="00B52B32">
        <w:rPr>
          <w:rFonts w:ascii="Calibri" w:hAnsi="Calibri" w:cs="Calibri"/>
          <w:sz w:val="24"/>
          <w:szCs w:val="24"/>
        </w:rPr>
        <w:t xml:space="preserve"> con gli </w:t>
      </w:r>
      <w:r w:rsidR="00B52B32" w:rsidRPr="00835444">
        <w:rPr>
          <w:rFonts w:ascii="Calibri" w:hAnsi="Calibri" w:cs="Calibri"/>
          <w:b/>
          <w:bCs/>
          <w:sz w:val="24"/>
          <w:szCs w:val="24"/>
        </w:rPr>
        <w:t>oltre 20</w:t>
      </w:r>
      <w:r w:rsidR="00835444" w:rsidRPr="008354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52B32" w:rsidRPr="00835444">
        <w:rPr>
          <w:rFonts w:ascii="Calibri" w:hAnsi="Calibri" w:cs="Calibri"/>
          <w:b/>
          <w:bCs/>
          <w:sz w:val="24"/>
          <w:szCs w:val="24"/>
        </w:rPr>
        <w:t>mila clienti italiani del Gruppo</w:t>
      </w:r>
      <w:r w:rsidR="00B52B32">
        <w:rPr>
          <w:rFonts w:ascii="Calibri" w:hAnsi="Calibri" w:cs="Calibri"/>
          <w:sz w:val="24"/>
          <w:szCs w:val="24"/>
        </w:rPr>
        <w:t>, mai venut</w:t>
      </w:r>
      <w:r w:rsidR="003876DE">
        <w:rPr>
          <w:rFonts w:ascii="Calibri" w:hAnsi="Calibri" w:cs="Calibri"/>
          <w:sz w:val="24"/>
          <w:szCs w:val="24"/>
        </w:rPr>
        <w:t>i</w:t>
      </w:r>
      <w:r w:rsidR="00B52B32">
        <w:rPr>
          <w:rFonts w:ascii="Calibri" w:hAnsi="Calibri" w:cs="Calibri"/>
          <w:sz w:val="24"/>
          <w:szCs w:val="24"/>
        </w:rPr>
        <w:t xml:space="preserve"> a mancare nemmeno negli anni più difficili, e </w:t>
      </w:r>
      <w:r>
        <w:rPr>
          <w:rFonts w:ascii="Calibri" w:hAnsi="Calibri" w:cs="Calibri"/>
          <w:sz w:val="24"/>
          <w:szCs w:val="24"/>
        </w:rPr>
        <w:t>ne</w:t>
      </w:r>
      <w:r w:rsidR="003876DE">
        <w:rPr>
          <w:rFonts w:ascii="Calibri" w:hAnsi="Calibri" w:cs="Calibri"/>
          <w:sz w:val="24"/>
          <w:szCs w:val="24"/>
        </w:rPr>
        <w:t>l</w:t>
      </w:r>
      <w:r w:rsidR="00B52B32">
        <w:rPr>
          <w:rFonts w:ascii="Calibri" w:hAnsi="Calibri" w:cs="Calibri"/>
          <w:sz w:val="24"/>
          <w:szCs w:val="24"/>
        </w:rPr>
        <w:t xml:space="preserve">la fiducia accordata dalle principali aziende mondiali di pneumatici, che hanno continuato ad affidarsi alla capillare rete distributiva </w:t>
      </w:r>
      <w:r>
        <w:rPr>
          <w:rFonts w:ascii="Calibri" w:hAnsi="Calibri" w:cs="Calibri"/>
          <w:sz w:val="24"/>
          <w:szCs w:val="24"/>
        </w:rPr>
        <w:t>della società</w:t>
      </w:r>
      <w:r w:rsidR="00B52B32">
        <w:rPr>
          <w:rFonts w:ascii="Calibri" w:hAnsi="Calibri" w:cs="Calibri"/>
          <w:sz w:val="24"/>
          <w:szCs w:val="24"/>
        </w:rPr>
        <w:t xml:space="preserve">. </w:t>
      </w:r>
    </w:p>
    <w:p w14:paraId="313ED992" w14:textId="77777777" w:rsidR="00835444" w:rsidRPr="00B6668C" w:rsidRDefault="00835444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</w:p>
    <w:p w14:paraId="78093108" w14:textId="1F0AB16E" w:rsidR="0052542C" w:rsidRPr="00B6668C" w:rsidRDefault="0052542C" w:rsidP="007A6636">
      <w:pPr>
        <w:pStyle w:val="Testonormale"/>
        <w:ind w:right="-8"/>
        <w:jc w:val="both"/>
        <w:rPr>
          <w:rFonts w:ascii="Calibri" w:hAnsi="Calibri" w:cs="Calibri"/>
          <w:sz w:val="24"/>
          <w:szCs w:val="24"/>
        </w:rPr>
      </w:pPr>
      <w:r w:rsidRPr="00B6668C">
        <w:rPr>
          <w:rFonts w:ascii="Calibri" w:hAnsi="Calibri" w:cs="Calibri"/>
          <w:sz w:val="24"/>
          <w:szCs w:val="24"/>
        </w:rPr>
        <w:t>Nella chiusura del concordato preventivo Fintyre è stata assistita da</w:t>
      </w:r>
      <w:r w:rsidR="006A3325">
        <w:rPr>
          <w:rFonts w:ascii="Calibri" w:hAnsi="Calibri" w:cs="Calibri"/>
          <w:sz w:val="24"/>
          <w:szCs w:val="24"/>
        </w:rPr>
        <w:t>llo</w:t>
      </w:r>
      <w:r w:rsidRPr="00B6668C">
        <w:rPr>
          <w:rFonts w:ascii="Calibri" w:hAnsi="Calibri" w:cs="Calibri"/>
          <w:sz w:val="24"/>
          <w:szCs w:val="24"/>
        </w:rPr>
        <w:t xml:space="preserve"> </w:t>
      </w:r>
      <w:r w:rsidR="006A3325">
        <w:rPr>
          <w:rFonts w:ascii="Calibri" w:hAnsi="Calibri" w:cs="Calibri"/>
          <w:sz w:val="24"/>
          <w:szCs w:val="24"/>
        </w:rPr>
        <w:t>s</w:t>
      </w:r>
      <w:r w:rsidRPr="00B6668C">
        <w:rPr>
          <w:rFonts w:ascii="Calibri" w:hAnsi="Calibri" w:cs="Calibri"/>
          <w:sz w:val="24"/>
          <w:szCs w:val="24"/>
        </w:rPr>
        <w:t>tudio</w:t>
      </w:r>
      <w:r w:rsidR="006A3325">
        <w:rPr>
          <w:rFonts w:ascii="Calibri" w:hAnsi="Calibri" w:cs="Calibri"/>
          <w:sz w:val="24"/>
          <w:szCs w:val="24"/>
        </w:rPr>
        <w:t xml:space="preserve"> legale</w:t>
      </w:r>
      <w:r w:rsidRPr="00B6668C">
        <w:rPr>
          <w:rFonts w:ascii="Calibri" w:hAnsi="Calibri" w:cs="Calibri"/>
          <w:sz w:val="24"/>
          <w:szCs w:val="24"/>
        </w:rPr>
        <w:t xml:space="preserve"> </w:t>
      </w:r>
      <w:r w:rsidRPr="001A2318">
        <w:rPr>
          <w:rFonts w:ascii="Calibri" w:hAnsi="Calibri" w:cs="Calibri"/>
          <w:b/>
          <w:bCs/>
          <w:sz w:val="24"/>
          <w:szCs w:val="24"/>
        </w:rPr>
        <w:t>Chiomenti</w:t>
      </w:r>
      <w:r w:rsidR="00835444">
        <w:rPr>
          <w:rFonts w:ascii="Calibri" w:hAnsi="Calibri" w:cs="Calibri"/>
          <w:sz w:val="24"/>
          <w:szCs w:val="24"/>
        </w:rPr>
        <w:t xml:space="preserve"> </w:t>
      </w:r>
      <w:r w:rsidR="001A2318">
        <w:rPr>
          <w:rFonts w:ascii="Calibri" w:hAnsi="Calibri" w:cs="Calibri"/>
          <w:sz w:val="24"/>
          <w:szCs w:val="24"/>
        </w:rPr>
        <w:t>con</w:t>
      </w:r>
      <w:r w:rsidR="00DB02EE">
        <w:rPr>
          <w:rFonts w:ascii="Calibri" w:hAnsi="Calibri" w:cs="Calibri"/>
          <w:sz w:val="24"/>
          <w:szCs w:val="24"/>
        </w:rPr>
        <w:t xml:space="preserve"> gli avvocati </w:t>
      </w:r>
      <w:r w:rsidR="00DB02EE" w:rsidRPr="00DB02EE">
        <w:rPr>
          <w:rFonts w:ascii="Calibri" w:hAnsi="Calibri" w:cs="Calibri"/>
          <w:sz w:val="24"/>
          <w:szCs w:val="24"/>
        </w:rPr>
        <w:t>Antonio Tavella e Giada Caravello</w:t>
      </w:r>
      <w:r w:rsidR="00B070E1">
        <w:rPr>
          <w:rFonts w:ascii="Calibri" w:hAnsi="Calibri" w:cs="Calibri"/>
          <w:sz w:val="24"/>
          <w:szCs w:val="24"/>
        </w:rPr>
        <w:t>,</w:t>
      </w:r>
      <w:r w:rsidR="00CB77A4">
        <w:rPr>
          <w:rFonts w:ascii="Calibri" w:hAnsi="Calibri" w:cs="Calibri"/>
          <w:sz w:val="24"/>
          <w:szCs w:val="24"/>
        </w:rPr>
        <w:t xml:space="preserve"> che hanno assistito </w:t>
      </w:r>
      <w:r w:rsidR="004A6C88">
        <w:rPr>
          <w:rFonts w:ascii="Calibri" w:hAnsi="Calibri" w:cs="Calibri"/>
          <w:sz w:val="24"/>
          <w:szCs w:val="24"/>
        </w:rPr>
        <w:t>l’azienda</w:t>
      </w:r>
      <w:r w:rsidR="00CB77A4">
        <w:rPr>
          <w:rFonts w:ascii="Calibri" w:hAnsi="Calibri" w:cs="Calibri"/>
          <w:sz w:val="24"/>
          <w:szCs w:val="24"/>
        </w:rPr>
        <w:t xml:space="preserve"> anche sul fronte del </w:t>
      </w:r>
      <w:r w:rsidR="006A3325" w:rsidRPr="00B6668C">
        <w:rPr>
          <w:rFonts w:ascii="Calibri" w:hAnsi="Calibri" w:cs="Calibri"/>
          <w:sz w:val="24"/>
          <w:szCs w:val="24"/>
        </w:rPr>
        <w:t>finanziamento</w:t>
      </w:r>
      <w:r w:rsidR="006A3325">
        <w:rPr>
          <w:rFonts w:ascii="Calibri" w:hAnsi="Calibri" w:cs="Calibri"/>
          <w:sz w:val="24"/>
          <w:szCs w:val="24"/>
        </w:rPr>
        <w:t xml:space="preserve"> di</w:t>
      </w:r>
      <w:r w:rsidR="006A3325" w:rsidRPr="00B6668C">
        <w:rPr>
          <w:rFonts w:ascii="Calibri" w:hAnsi="Calibri" w:cs="Calibri"/>
          <w:sz w:val="24"/>
          <w:szCs w:val="24"/>
        </w:rPr>
        <w:t xml:space="preserve"> Banco BPM</w:t>
      </w:r>
      <w:r w:rsidR="00CB77A4">
        <w:rPr>
          <w:rFonts w:ascii="Calibri" w:hAnsi="Calibri" w:cs="Calibri"/>
          <w:sz w:val="24"/>
          <w:szCs w:val="24"/>
        </w:rPr>
        <w:t xml:space="preserve">. Nell’ambito di </w:t>
      </w:r>
      <w:r w:rsidR="00B9563F">
        <w:rPr>
          <w:rFonts w:ascii="Calibri" w:hAnsi="Calibri" w:cs="Calibri"/>
          <w:sz w:val="24"/>
          <w:szCs w:val="24"/>
        </w:rPr>
        <w:t>quest’ultima</w:t>
      </w:r>
      <w:r w:rsidR="00CB77A4">
        <w:rPr>
          <w:rFonts w:ascii="Calibri" w:hAnsi="Calibri" w:cs="Calibri"/>
          <w:sz w:val="24"/>
          <w:szCs w:val="24"/>
        </w:rPr>
        <w:t xml:space="preserve"> operazione, </w:t>
      </w:r>
      <w:r w:rsidR="008D41AE">
        <w:rPr>
          <w:rFonts w:ascii="Calibri" w:hAnsi="Calibri" w:cs="Calibri"/>
          <w:sz w:val="24"/>
          <w:szCs w:val="24"/>
        </w:rPr>
        <w:t>la banca</w:t>
      </w:r>
      <w:r w:rsidR="00255FB6">
        <w:rPr>
          <w:rFonts w:ascii="Calibri" w:hAnsi="Calibri" w:cs="Calibri"/>
          <w:sz w:val="24"/>
          <w:szCs w:val="24"/>
        </w:rPr>
        <w:t xml:space="preserve"> </w:t>
      </w:r>
      <w:r w:rsidR="006A3325">
        <w:rPr>
          <w:rFonts w:ascii="Calibri" w:hAnsi="Calibri" w:cs="Calibri"/>
          <w:sz w:val="24"/>
          <w:szCs w:val="24"/>
        </w:rPr>
        <w:t>è stata</w:t>
      </w:r>
      <w:r w:rsidR="006A3325" w:rsidRPr="00B6668C">
        <w:rPr>
          <w:rFonts w:ascii="Calibri" w:hAnsi="Calibri" w:cs="Calibri"/>
          <w:sz w:val="24"/>
          <w:szCs w:val="24"/>
        </w:rPr>
        <w:t xml:space="preserve"> assistit</w:t>
      </w:r>
      <w:r w:rsidR="006A3325">
        <w:rPr>
          <w:rFonts w:ascii="Calibri" w:hAnsi="Calibri" w:cs="Calibri"/>
          <w:sz w:val="24"/>
          <w:szCs w:val="24"/>
        </w:rPr>
        <w:t>a</w:t>
      </w:r>
      <w:r w:rsidR="006A3325" w:rsidRPr="00B6668C">
        <w:rPr>
          <w:rFonts w:ascii="Calibri" w:hAnsi="Calibri" w:cs="Calibri"/>
          <w:sz w:val="24"/>
          <w:szCs w:val="24"/>
        </w:rPr>
        <w:t xml:space="preserve"> d</w:t>
      </w:r>
      <w:r w:rsidR="006A3325">
        <w:rPr>
          <w:rFonts w:ascii="Calibri" w:hAnsi="Calibri" w:cs="Calibri"/>
          <w:sz w:val="24"/>
          <w:szCs w:val="24"/>
        </w:rPr>
        <w:t>al</w:t>
      </w:r>
      <w:r w:rsidR="003876DE">
        <w:rPr>
          <w:rFonts w:ascii="Calibri" w:hAnsi="Calibri" w:cs="Calibri"/>
          <w:sz w:val="24"/>
          <w:szCs w:val="24"/>
        </w:rPr>
        <w:t>l</w:t>
      </w:r>
      <w:r w:rsidR="00342B91" w:rsidRPr="00B6668C">
        <w:rPr>
          <w:rFonts w:ascii="Calibri" w:hAnsi="Calibri" w:cs="Calibri"/>
          <w:sz w:val="24"/>
          <w:szCs w:val="24"/>
        </w:rPr>
        <w:t xml:space="preserve">o </w:t>
      </w:r>
      <w:r w:rsidR="006A3325">
        <w:rPr>
          <w:rFonts w:ascii="Calibri" w:hAnsi="Calibri" w:cs="Calibri"/>
          <w:sz w:val="24"/>
          <w:szCs w:val="24"/>
        </w:rPr>
        <w:t>s</w:t>
      </w:r>
      <w:r w:rsidR="00342B91" w:rsidRPr="00B6668C">
        <w:rPr>
          <w:rFonts w:ascii="Calibri" w:hAnsi="Calibri" w:cs="Calibri"/>
          <w:sz w:val="24"/>
          <w:szCs w:val="24"/>
        </w:rPr>
        <w:t>tudio</w:t>
      </w:r>
      <w:r w:rsidR="006A3325">
        <w:rPr>
          <w:rFonts w:ascii="Calibri" w:hAnsi="Calibri" w:cs="Calibri"/>
          <w:sz w:val="24"/>
          <w:szCs w:val="24"/>
        </w:rPr>
        <w:t xml:space="preserve"> legale</w:t>
      </w:r>
      <w:r w:rsidR="00342B91" w:rsidRPr="00B6668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2B91" w:rsidRPr="001A2318">
        <w:rPr>
          <w:rFonts w:ascii="Calibri" w:hAnsi="Calibri" w:cs="Calibri"/>
          <w:b/>
          <w:bCs/>
          <w:sz w:val="24"/>
          <w:szCs w:val="24"/>
        </w:rPr>
        <w:t>Dentons</w:t>
      </w:r>
      <w:proofErr w:type="spellEnd"/>
      <w:r w:rsidR="00835444">
        <w:rPr>
          <w:rFonts w:ascii="Calibri" w:hAnsi="Calibri" w:cs="Calibri"/>
          <w:sz w:val="24"/>
          <w:szCs w:val="24"/>
        </w:rPr>
        <w:t xml:space="preserve"> </w:t>
      </w:r>
      <w:r w:rsidR="001A2318">
        <w:rPr>
          <w:rFonts w:ascii="Calibri" w:hAnsi="Calibri" w:cs="Calibri"/>
          <w:sz w:val="24"/>
          <w:szCs w:val="24"/>
        </w:rPr>
        <w:t xml:space="preserve">con </w:t>
      </w:r>
      <w:r w:rsidR="00DB02EE">
        <w:rPr>
          <w:rFonts w:ascii="Calibri" w:hAnsi="Calibri" w:cs="Calibri"/>
          <w:sz w:val="24"/>
          <w:szCs w:val="24"/>
        </w:rPr>
        <w:t>gli avvocati</w:t>
      </w:r>
      <w:r w:rsidR="00DB02EE" w:rsidRPr="00DB02EE">
        <w:rPr>
          <w:rFonts w:ascii="Calibri" w:hAnsi="Calibri" w:cs="Calibri"/>
          <w:sz w:val="24"/>
          <w:szCs w:val="24"/>
        </w:rPr>
        <w:t xml:space="preserve"> </w:t>
      </w:r>
      <w:r w:rsidR="00D217A6">
        <w:rPr>
          <w:rFonts w:ascii="Calibri" w:hAnsi="Calibri" w:cs="Calibri"/>
          <w:sz w:val="24"/>
          <w:szCs w:val="24"/>
        </w:rPr>
        <w:t xml:space="preserve">Alessandro </w:t>
      </w:r>
      <w:r w:rsidR="00DB02EE" w:rsidRPr="00DB02EE">
        <w:rPr>
          <w:rFonts w:ascii="Calibri" w:hAnsi="Calibri" w:cs="Calibri"/>
          <w:sz w:val="24"/>
          <w:szCs w:val="24"/>
        </w:rPr>
        <w:t xml:space="preserve">Fosco Fagotto </w:t>
      </w:r>
      <w:r w:rsidR="00DB02EE">
        <w:rPr>
          <w:rFonts w:ascii="Calibri" w:hAnsi="Calibri" w:cs="Calibri"/>
          <w:sz w:val="24"/>
          <w:szCs w:val="24"/>
        </w:rPr>
        <w:t>e</w:t>
      </w:r>
      <w:r w:rsidR="00DB02EE" w:rsidRPr="00DB02EE">
        <w:rPr>
          <w:rFonts w:ascii="Calibri" w:hAnsi="Calibri" w:cs="Calibri"/>
          <w:sz w:val="24"/>
          <w:szCs w:val="24"/>
        </w:rPr>
        <w:t xml:space="preserve"> </w:t>
      </w:r>
      <w:r w:rsidR="005406E9">
        <w:rPr>
          <w:rFonts w:ascii="Calibri" w:hAnsi="Calibri" w:cs="Calibri"/>
          <w:sz w:val="24"/>
          <w:szCs w:val="24"/>
        </w:rPr>
        <w:t>Gaia Grossi</w:t>
      </w:r>
      <w:r w:rsidR="00DB02EE">
        <w:rPr>
          <w:rFonts w:ascii="Calibri" w:hAnsi="Calibri" w:cs="Calibri"/>
          <w:sz w:val="24"/>
          <w:szCs w:val="24"/>
        </w:rPr>
        <w:t>.</w:t>
      </w:r>
    </w:p>
    <w:p w14:paraId="1557817A" w14:textId="77777777" w:rsidR="006018AD" w:rsidRPr="001522BB" w:rsidRDefault="006018AD" w:rsidP="006018AD">
      <w:pPr>
        <w:pStyle w:val="Testonormale"/>
        <w:ind w:right="-8"/>
        <w:rPr>
          <w:rFonts w:ascii="Calibri" w:hAnsi="Calibri" w:cs="Calibri"/>
        </w:rPr>
      </w:pPr>
    </w:p>
    <w:p w14:paraId="694098DD" w14:textId="77777777" w:rsidR="00C74E95" w:rsidRDefault="00C74E95" w:rsidP="006018AD">
      <w:pPr>
        <w:pStyle w:val="Testonormale"/>
        <w:ind w:right="-8"/>
        <w:rPr>
          <w:rFonts w:ascii="Calibri" w:hAnsi="Calibri" w:cs="Calibri"/>
        </w:rPr>
      </w:pPr>
    </w:p>
    <w:p w14:paraId="2523FAC2" w14:textId="3E49B618" w:rsidR="006018AD" w:rsidRPr="006018AD" w:rsidRDefault="006018AD" w:rsidP="006018AD">
      <w:pPr>
        <w:pStyle w:val="Testonormale"/>
        <w:ind w:right="-8"/>
        <w:jc w:val="center"/>
        <w:rPr>
          <w:rFonts w:ascii="Calibri" w:hAnsi="Calibri" w:cs="Calibri"/>
          <w:b/>
          <w:bCs/>
          <w:sz w:val="20"/>
          <w:szCs w:val="20"/>
        </w:rPr>
      </w:pPr>
      <w:r w:rsidRPr="006018AD">
        <w:rPr>
          <w:rFonts w:ascii="Calibri" w:hAnsi="Calibri" w:cs="Calibri"/>
          <w:b/>
          <w:bCs/>
          <w:sz w:val="20"/>
          <w:szCs w:val="20"/>
        </w:rPr>
        <w:t>***</w:t>
      </w:r>
    </w:p>
    <w:p w14:paraId="7D4E5ABD" w14:textId="77777777" w:rsidR="006018AD" w:rsidRDefault="006018AD" w:rsidP="006018AD">
      <w:pPr>
        <w:pStyle w:val="Testonormale"/>
        <w:ind w:right="-8"/>
        <w:rPr>
          <w:rFonts w:ascii="Calibri" w:hAnsi="Calibri" w:cs="Calibri"/>
        </w:rPr>
      </w:pPr>
    </w:p>
    <w:p w14:paraId="2A8E710C" w14:textId="61CA6411" w:rsidR="006018AD" w:rsidRPr="006018AD" w:rsidRDefault="007A6636" w:rsidP="00922E1F">
      <w:pPr>
        <w:pStyle w:val="Testonormale"/>
        <w:ind w:right="-8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FINTYRE</w:t>
      </w:r>
    </w:p>
    <w:p w14:paraId="514B6BE7" w14:textId="77777777" w:rsidR="007A6636" w:rsidRPr="007A6636" w:rsidRDefault="007A6636" w:rsidP="007A6636">
      <w:pPr>
        <w:pStyle w:val="Testonormale"/>
        <w:ind w:right="-8"/>
        <w:jc w:val="both"/>
        <w:rPr>
          <w:rFonts w:ascii="Calibri" w:hAnsi="Calibri" w:cs="Calibri"/>
          <w:sz w:val="18"/>
          <w:szCs w:val="18"/>
        </w:rPr>
      </w:pPr>
      <w:r w:rsidRPr="007A6636">
        <w:rPr>
          <w:rFonts w:ascii="Calibri" w:hAnsi="Calibri" w:cs="Calibri"/>
          <w:sz w:val="18"/>
          <w:szCs w:val="18"/>
        </w:rPr>
        <w:t>Il Gruppo Fintyre è leader in Italia nel mercato degli pneumatici da ricambio. Presente nel ramo della distribuzione con le società Fintyre e Franco Gomme, il Gruppo risponde alle esigenze del mercato con professionalità e con un eccellente servizio.</w:t>
      </w:r>
      <w:r w:rsidRPr="007A6636">
        <w:rPr>
          <w:rFonts w:ascii="Calibri" w:hAnsi="Calibri" w:cs="Calibri"/>
          <w:sz w:val="18"/>
          <w:szCs w:val="18"/>
        </w:rPr>
        <w:br/>
        <w:t>Con grande professionalità ed esperienza il Gruppo Fintyre si è distinto negli anni come un punto di riferimento e di eccellenza nel settore.</w:t>
      </w:r>
    </w:p>
    <w:p w14:paraId="43BCCDBE" w14:textId="3D2DDA40" w:rsidR="007A6636" w:rsidRDefault="00000000" w:rsidP="007A6636">
      <w:pPr>
        <w:pStyle w:val="Testonormale"/>
        <w:ind w:right="-8"/>
        <w:jc w:val="both"/>
        <w:rPr>
          <w:rFonts w:ascii="Calibri" w:hAnsi="Calibri" w:cs="Calibri"/>
          <w:sz w:val="18"/>
          <w:szCs w:val="18"/>
        </w:rPr>
      </w:pPr>
      <w:hyperlink r:id="rId10" w:history="1">
        <w:r w:rsidR="007A6636" w:rsidRPr="008B46D6">
          <w:rPr>
            <w:rStyle w:val="Collegamentoipertestuale"/>
            <w:rFonts w:ascii="Calibri" w:hAnsi="Calibri" w:cs="Calibri"/>
            <w:sz w:val="18"/>
            <w:szCs w:val="18"/>
          </w:rPr>
          <w:t>www.fintyre.it</w:t>
        </w:r>
      </w:hyperlink>
    </w:p>
    <w:p w14:paraId="213E91E6" w14:textId="77777777" w:rsidR="00922E1F" w:rsidRDefault="00922E1F" w:rsidP="001522BB">
      <w:pPr>
        <w:pStyle w:val="Testonormale"/>
        <w:ind w:right="-8"/>
        <w:rPr>
          <w:rFonts w:ascii="Calibri" w:hAnsi="Calibri" w:cs="Calibri"/>
          <w:sz w:val="18"/>
          <w:szCs w:val="18"/>
        </w:rPr>
      </w:pPr>
    </w:p>
    <w:p w14:paraId="28F5E951" w14:textId="7F96A302" w:rsidR="0052542C" w:rsidRPr="0052542C" w:rsidRDefault="0052542C" w:rsidP="0052542C">
      <w:pPr>
        <w:spacing w:after="100" w:afterAutospacing="1"/>
        <w:jc w:val="both"/>
        <w:rPr>
          <w:rStyle w:val="Collegamentoipertestuale"/>
          <w:rFonts w:cstheme="minorHAnsi"/>
          <w:b/>
          <w:sz w:val="18"/>
          <w:szCs w:val="18"/>
        </w:rPr>
      </w:pPr>
      <w:r w:rsidRPr="0052542C">
        <w:rPr>
          <w:rFonts w:cstheme="minorHAnsi"/>
          <w:b/>
          <w:sz w:val="18"/>
          <w:szCs w:val="18"/>
        </w:rPr>
        <w:t>Per maggiori informazioni</w:t>
      </w:r>
      <w:r>
        <w:rPr>
          <w:rFonts w:cstheme="minorHAnsi"/>
          <w:b/>
          <w:sz w:val="18"/>
          <w:szCs w:val="18"/>
        </w:rPr>
        <w:t xml:space="preserve"> si prega di contattare</w:t>
      </w:r>
      <w:r w:rsidRPr="0052542C">
        <w:rPr>
          <w:rFonts w:cstheme="minorHAnsi"/>
          <w:b/>
          <w:sz w:val="18"/>
          <w:szCs w:val="18"/>
        </w:rPr>
        <w:t>:</w:t>
      </w:r>
    </w:p>
    <w:tbl>
      <w:tblPr>
        <w:tblStyle w:val="Grigliatabella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52542C" w:rsidRPr="0052542C" w14:paraId="5D620032" w14:textId="77777777" w:rsidTr="0052542C">
        <w:tc>
          <w:tcPr>
            <w:tcW w:w="6095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9"/>
            </w:tblGrid>
            <w:tr w:rsidR="0052542C" w:rsidRPr="0052542C" w14:paraId="45067E44" w14:textId="77777777" w:rsidTr="00E33E0A">
              <w:trPr>
                <w:tblCellSpacing w:w="0" w:type="dxa"/>
              </w:trPr>
              <w:tc>
                <w:tcPr>
                  <w:tcW w:w="6930" w:type="dxa"/>
                  <w:shd w:val="clear" w:color="auto" w:fill="FFFFFF"/>
                  <w:hideMark/>
                </w:tcPr>
                <w:p w14:paraId="2FB81B92" w14:textId="77777777" w:rsidR="0052542C" w:rsidRPr="0052542C" w:rsidRDefault="0052542C" w:rsidP="00E33E0A">
                  <w:pPr>
                    <w:rPr>
                      <w:rFonts w:eastAsia="ヒラギノ角ゴ Pro W3" w:cstheme="minorHAnsi"/>
                      <w:b/>
                      <w:kern w:val="2"/>
                      <w:sz w:val="18"/>
                      <w:szCs w:val="18"/>
                      <w:lang w:val="en-US" w:eastAsia="zh-CN"/>
                    </w:rPr>
                  </w:pPr>
                  <w:r w:rsidRPr="0052542C">
                    <w:rPr>
                      <w:rFonts w:eastAsia="ヒラギノ角ゴ Pro W3" w:cstheme="minorHAnsi"/>
                      <w:b/>
                      <w:kern w:val="2"/>
                      <w:sz w:val="18"/>
                      <w:szCs w:val="18"/>
                      <w:lang w:val="en-US" w:eastAsia="zh-CN"/>
                    </w:rPr>
                    <w:t>SEC Newgate</w:t>
                  </w:r>
                </w:p>
              </w:tc>
            </w:tr>
          </w:tbl>
          <w:p w14:paraId="67EFFE62" w14:textId="53843D1D" w:rsidR="0052542C" w:rsidRDefault="00000000" w:rsidP="00E33E0A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52542C" w:rsidRPr="008B46D6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daniele.pinosa@secnewgate.it</w:t>
              </w:r>
            </w:hyperlink>
            <w:r w:rsidR="0052542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2542C" w:rsidRPr="0052542C">
              <w:rPr>
                <w:rFonts w:asciiTheme="minorHAnsi" w:hAnsiTheme="minorHAnsi" w:cstheme="minorHAnsi"/>
                <w:sz w:val="18"/>
                <w:szCs w:val="18"/>
              </w:rPr>
              <w:t>335 723 3872</w:t>
            </w:r>
          </w:p>
          <w:p w14:paraId="2526C275" w14:textId="132953A9" w:rsidR="0052542C" w:rsidRPr="0052542C" w:rsidRDefault="00000000" w:rsidP="00E33E0A">
            <w:pPr>
              <w:pStyle w:val="Paragrafoelenco"/>
              <w:ind w:left="0"/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</w:pPr>
            <w:hyperlink r:id="rId12" w:history="1">
              <w:r w:rsidR="0052542C" w:rsidRPr="008B46D6">
                <w:rPr>
                  <w:rStyle w:val="Collegamentoipertestuale"/>
                  <w:rFonts w:asciiTheme="minorHAnsi" w:eastAsia="ヒラギノ角ゴ Pro W3" w:hAnsiTheme="minorHAnsi" w:cstheme="minorHAnsi"/>
                  <w:kern w:val="2"/>
                  <w:sz w:val="18"/>
                  <w:szCs w:val="18"/>
                  <w:lang w:eastAsia="zh-CN"/>
                </w:rPr>
                <w:t>michele.bon@secnewgate.it</w:t>
              </w:r>
            </w:hyperlink>
            <w:r w:rsidR="0052542C" w:rsidRP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 xml:space="preserve"> - 338 693</w:t>
            </w:r>
            <w:r w:rsid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 xml:space="preserve"> </w:t>
            </w:r>
            <w:r w:rsidR="0052542C" w:rsidRP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>3868</w:t>
            </w:r>
          </w:p>
          <w:p w14:paraId="7C442590" w14:textId="0576A83A" w:rsidR="0052542C" w:rsidRPr="0052542C" w:rsidRDefault="00000000" w:rsidP="00E33E0A">
            <w:pPr>
              <w:pStyle w:val="Paragrafoelenco"/>
              <w:ind w:left="0"/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</w:pPr>
            <w:hyperlink r:id="rId13" w:history="1">
              <w:r w:rsidR="001A2318" w:rsidRPr="00805EB3">
                <w:rPr>
                  <w:rStyle w:val="Collegamentoipertestuale"/>
                  <w:rFonts w:asciiTheme="minorHAnsi" w:eastAsia="ヒラギノ角ゴ Pro W3" w:hAnsiTheme="minorHAnsi" w:cstheme="minorHAnsi"/>
                  <w:kern w:val="2"/>
                  <w:sz w:val="18"/>
                  <w:szCs w:val="18"/>
                  <w:lang w:eastAsia="zh-CN"/>
                </w:rPr>
                <w:t>andrea.prandini@secnewgate.it</w:t>
              </w:r>
            </w:hyperlink>
            <w:r w:rsidR="001A2318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 xml:space="preserve"> </w:t>
            </w:r>
            <w:r w:rsidR="0052542C" w:rsidRP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>– 33</w:t>
            </w:r>
            <w:r w:rsid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>9</w:t>
            </w:r>
            <w:r w:rsidR="0052542C" w:rsidRP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 xml:space="preserve"> </w:t>
            </w:r>
            <w:r w:rsidR="0052542C">
              <w:rPr>
                <w:rFonts w:asciiTheme="minorHAnsi" w:eastAsia="ヒラギノ角ゴ Pro W3" w:hAnsiTheme="minorHAnsi" w:cstheme="minorHAnsi"/>
                <w:kern w:val="2"/>
                <w:sz w:val="18"/>
                <w:szCs w:val="18"/>
                <w:lang w:eastAsia="zh-CN"/>
              </w:rPr>
              <w:t>322 1707</w:t>
            </w:r>
          </w:p>
        </w:tc>
      </w:tr>
    </w:tbl>
    <w:p w14:paraId="2605521C" w14:textId="77777777" w:rsidR="00C74E95" w:rsidRPr="001522BB" w:rsidRDefault="00C74E95" w:rsidP="0052542C">
      <w:pPr>
        <w:jc w:val="both"/>
        <w:rPr>
          <w:rFonts w:ascii="Calibri" w:hAnsi="Calibri" w:cs="Calibri"/>
        </w:rPr>
      </w:pPr>
    </w:p>
    <w:sectPr w:rsidR="00C74E95" w:rsidRPr="001522BB" w:rsidSect="008D5DE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-2694" w:right="1134" w:bottom="1276" w:left="1560" w:header="112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6E1D" w14:textId="77777777" w:rsidR="008D5DE6" w:rsidRDefault="008D5DE6" w:rsidP="001522BB">
      <w:r>
        <w:separator/>
      </w:r>
    </w:p>
  </w:endnote>
  <w:endnote w:type="continuationSeparator" w:id="0">
    <w:p w14:paraId="450C57F7" w14:textId="77777777" w:rsidR="008D5DE6" w:rsidRDefault="008D5DE6" w:rsidP="001522BB">
      <w:r>
        <w:continuationSeparator/>
      </w:r>
    </w:p>
  </w:endnote>
  <w:endnote w:type="continuationNotice" w:id="1">
    <w:p w14:paraId="1D9A9A7E" w14:textId="77777777" w:rsidR="008D5DE6" w:rsidRDefault="008D5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2064" w14:textId="77777777" w:rsidR="007360DB" w:rsidRPr="00C41E44" w:rsidRDefault="007A5B0D" w:rsidP="00FC16E4">
    <w:pPr>
      <w:pStyle w:val="Pidipagina"/>
      <w:jc w:val="right"/>
      <w:rPr>
        <w:rFonts w:ascii="Arial" w:hAnsi="Arial" w:cs="Arial"/>
      </w:rPr>
    </w:pPr>
    <w:r>
      <w:tab/>
    </w:r>
    <w:sdt>
      <w:sdtPr>
        <w:rPr>
          <w:rFonts w:ascii="Arial" w:hAnsi="Arial" w:cs="Arial"/>
        </w:rPr>
        <w:id w:val="1729107829"/>
        <w:docPartObj>
          <w:docPartGallery w:val="Page Numbers (Bottom of Page)"/>
          <w:docPartUnique/>
        </w:docPartObj>
      </w:sdtPr>
      <w:sdtContent>
        <w:r w:rsidRPr="00C41E44">
          <w:rPr>
            <w:rFonts w:ascii="Arial" w:hAnsi="Arial" w:cs="Arial"/>
          </w:rPr>
          <w:fldChar w:fldCharType="begin"/>
        </w:r>
        <w:r w:rsidRPr="00C41E44">
          <w:rPr>
            <w:rFonts w:ascii="Arial" w:hAnsi="Arial" w:cs="Arial"/>
          </w:rPr>
          <w:instrText>PAGE   \* MERGEFORMAT</w:instrText>
        </w:r>
        <w:r w:rsidRPr="00C41E4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41E44">
          <w:rPr>
            <w:rFonts w:ascii="Arial" w:hAnsi="Arial" w:cs="Arial"/>
          </w:rPr>
          <w:fldChar w:fldCharType="end"/>
        </w:r>
      </w:sdtContent>
    </w:sdt>
  </w:p>
  <w:p w14:paraId="75B85CEA" w14:textId="77777777" w:rsidR="007360DB" w:rsidRDefault="007360DB" w:rsidP="008A48E8">
    <w:pPr>
      <w:pStyle w:val="Pidipagina"/>
      <w:tabs>
        <w:tab w:val="clear" w:pos="4819"/>
        <w:tab w:val="clear" w:pos="9638"/>
        <w:tab w:val="left" w:pos="7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FB59" w14:textId="255C6DD0" w:rsidR="007360DB" w:rsidRPr="00C41E44" w:rsidRDefault="007360DB" w:rsidP="001522BB">
    <w:pPr>
      <w:pStyle w:val="Pidipagina"/>
      <w:rPr>
        <w:rFonts w:ascii="Arial" w:hAnsi="Arial" w:cs="Arial"/>
      </w:rPr>
    </w:pPr>
  </w:p>
  <w:p w14:paraId="40D12B8C" w14:textId="77777777" w:rsidR="007360DB" w:rsidRDefault="007360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064D" w14:textId="77777777" w:rsidR="008D5DE6" w:rsidRDefault="008D5DE6" w:rsidP="001522BB">
      <w:r>
        <w:separator/>
      </w:r>
    </w:p>
  </w:footnote>
  <w:footnote w:type="continuationSeparator" w:id="0">
    <w:p w14:paraId="2282530C" w14:textId="77777777" w:rsidR="008D5DE6" w:rsidRDefault="008D5DE6" w:rsidP="001522BB">
      <w:r>
        <w:continuationSeparator/>
      </w:r>
    </w:p>
  </w:footnote>
  <w:footnote w:type="continuationNotice" w:id="1">
    <w:p w14:paraId="55943281" w14:textId="77777777" w:rsidR="008D5DE6" w:rsidRDefault="008D5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7A8" w14:textId="512379F3" w:rsidR="006018AD" w:rsidRDefault="006018AD" w:rsidP="006018AD">
    <w:pPr>
      <w:pStyle w:val="Intestazione"/>
      <w:tabs>
        <w:tab w:val="clear" w:pos="9638"/>
        <w:tab w:val="right" w:pos="9206"/>
      </w:tabs>
    </w:pPr>
    <w:r w:rsidRPr="00AD115F">
      <w:rPr>
        <w:rFonts w:ascii="Gill Sans MT" w:hAnsi="Gill Sans MT"/>
        <w:noProof/>
        <w:sz w:val="22"/>
      </w:rPr>
      <w:drawing>
        <wp:anchor distT="0" distB="0" distL="114300" distR="114300" simplePos="0" relativeHeight="251658241" behindDoc="0" locked="0" layoutInCell="1" allowOverlap="1" wp14:anchorId="590A47A7" wp14:editId="092A9590">
          <wp:simplePos x="0" y="0"/>
          <wp:positionH relativeFrom="margin">
            <wp:posOffset>2095500</wp:posOffset>
          </wp:positionH>
          <wp:positionV relativeFrom="margin">
            <wp:posOffset>-1254125</wp:posOffset>
          </wp:positionV>
          <wp:extent cx="1682750" cy="1080135"/>
          <wp:effectExtent l="0" t="0" r="6350" b="0"/>
          <wp:wrapSquare wrapText="bothSides"/>
          <wp:docPr id="1406648872" name="Immagine 1406648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48872" name="Immagine 140664887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5" b="298"/>
                  <a:stretch/>
                </pic:blipFill>
                <pic:spPr bwMode="auto">
                  <a:xfrm>
                    <a:off x="0" y="0"/>
                    <a:ext cx="16827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AE8F" w14:textId="45BCC32B" w:rsidR="007360DB" w:rsidRDefault="007A5B0D" w:rsidP="001522BB">
    <w:pPr>
      <w:pStyle w:val="Intestazione"/>
      <w:ind w:right="-8"/>
    </w:pPr>
    <w:r w:rsidRPr="00AD115F">
      <w:rPr>
        <w:rFonts w:ascii="Gill Sans MT" w:hAnsi="Gill Sans MT"/>
        <w:noProof/>
        <w:sz w:val="22"/>
      </w:rPr>
      <w:drawing>
        <wp:anchor distT="0" distB="0" distL="114300" distR="114300" simplePos="0" relativeHeight="251658240" behindDoc="0" locked="0" layoutInCell="1" allowOverlap="1" wp14:anchorId="5C9BE91F" wp14:editId="08D4666B">
          <wp:simplePos x="0" y="0"/>
          <wp:positionH relativeFrom="margin">
            <wp:posOffset>2124773</wp:posOffset>
          </wp:positionH>
          <wp:positionV relativeFrom="margin">
            <wp:posOffset>-1159510</wp:posOffset>
          </wp:positionV>
          <wp:extent cx="1682750" cy="906780"/>
          <wp:effectExtent l="0" t="0" r="6350" b="0"/>
          <wp:wrapSquare wrapText="bothSides"/>
          <wp:docPr id="1656520937" name="Immagine 1656520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85297" name="Immagine 1937685297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67" b="22801"/>
                  <a:stretch/>
                </pic:blipFill>
                <pic:spPr bwMode="auto">
                  <a:xfrm>
                    <a:off x="0" y="0"/>
                    <a:ext cx="16827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5BA"/>
    <w:multiLevelType w:val="hybridMultilevel"/>
    <w:tmpl w:val="8C761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7C2"/>
    <w:multiLevelType w:val="hybridMultilevel"/>
    <w:tmpl w:val="8F88FE42"/>
    <w:lvl w:ilvl="0" w:tplc="B864630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C45DE"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E522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E7226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CCEDA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EC704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43108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64EE4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E19CE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32476484">
    <w:abstractNumId w:val="0"/>
  </w:num>
  <w:num w:numId="2" w16cid:durableId="52536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BB"/>
    <w:rsid w:val="00003266"/>
    <w:rsid w:val="0001191F"/>
    <w:rsid w:val="00017DD9"/>
    <w:rsid w:val="00022885"/>
    <w:rsid w:val="0006393C"/>
    <w:rsid w:val="00065E62"/>
    <w:rsid w:val="000752C9"/>
    <w:rsid w:val="00085FE6"/>
    <w:rsid w:val="00094F4E"/>
    <w:rsid w:val="000B7219"/>
    <w:rsid w:val="000E4A1A"/>
    <w:rsid w:val="00117CF7"/>
    <w:rsid w:val="00133910"/>
    <w:rsid w:val="00135225"/>
    <w:rsid w:val="001522BB"/>
    <w:rsid w:val="001638F5"/>
    <w:rsid w:val="00165511"/>
    <w:rsid w:val="001A2318"/>
    <w:rsid w:val="001C1A11"/>
    <w:rsid w:val="001C73A3"/>
    <w:rsid w:val="00201DB6"/>
    <w:rsid w:val="00243610"/>
    <w:rsid w:val="00255FB6"/>
    <w:rsid w:val="00273E4E"/>
    <w:rsid w:val="00276BE4"/>
    <w:rsid w:val="002954A6"/>
    <w:rsid w:val="002A46AA"/>
    <w:rsid w:val="002A5323"/>
    <w:rsid w:val="002C593E"/>
    <w:rsid w:val="002D261C"/>
    <w:rsid w:val="002E6EC9"/>
    <w:rsid w:val="00342B91"/>
    <w:rsid w:val="00365677"/>
    <w:rsid w:val="00386D8C"/>
    <w:rsid w:val="003876DE"/>
    <w:rsid w:val="003954E6"/>
    <w:rsid w:val="0041088D"/>
    <w:rsid w:val="0042177D"/>
    <w:rsid w:val="00423B8B"/>
    <w:rsid w:val="0044138D"/>
    <w:rsid w:val="004626EC"/>
    <w:rsid w:val="00476D22"/>
    <w:rsid w:val="00483856"/>
    <w:rsid w:val="00496F36"/>
    <w:rsid w:val="004A6C88"/>
    <w:rsid w:val="004B04E5"/>
    <w:rsid w:val="0052542C"/>
    <w:rsid w:val="005406E9"/>
    <w:rsid w:val="00542478"/>
    <w:rsid w:val="005457C0"/>
    <w:rsid w:val="005706D5"/>
    <w:rsid w:val="005806E7"/>
    <w:rsid w:val="00597DC5"/>
    <w:rsid w:val="006018AD"/>
    <w:rsid w:val="006260E9"/>
    <w:rsid w:val="00640BB7"/>
    <w:rsid w:val="00647CF9"/>
    <w:rsid w:val="006538C6"/>
    <w:rsid w:val="00656682"/>
    <w:rsid w:val="006A07C6"/>
    <w:rsid w:val="006A3325"/>
    <w:rsid w:val="006D0D47"/>
    <w:rsid w:val="006E5218"/>
    <w:rsid w:val="007360DB"/>
    <w:rsid w:val="0073648C"/>
    <w:rsid w:val="00777D6D"/>
    <w:rsid w:val="007A45D3"/>
    <w:rsid w:val="007A5B0D"/>
    <w:rsid w:val="007A6636"/>
    <w:rsid w:val="007C7C8D"/>
    <w:rsid w:val="007E5CFD"/>
    <w:rsid w:val="00807162"/>
    <w:rsid w:val="00833928"/>
    <w:rsid w:val="00835444"/>
    <w:rsid w:val="00835BF5"/>
    <w:rsid w:val="00844329"/>
    <w:rsid w:val="0086298E"/>
    <w:rsid w:val="0087021E"/>
    <w:rsid w:val="00881B71"/>
    <w:rsid w:val="00893C1F"/>
    <w:rsid w:val="008B4CB5"/>
    <w:rsid w:val="008D41AE"/>
    <w:rsid w:val="008D5DE6"/>
    <w:rsid w:val="00922E1F"/>
    <w:rsid w:val="0094591A"/>
    <w:rsid w:val="009A477F"/>
    <w:rsid w:val="009D4F61"/>
    <w:rsid w:val="00A24F10"/>
    <w:rsid w:val="00A343BA"/>
    <w:rsid w:val="00AC53A7"/>
    <w:rsid w:val="00B0255D"/>
    <w:rsid w:val="00B070E1"/>
    <w:rsid w:val="00B33617"/>
    <w:rsid w:val="00B35780"/>
    <w:rsid w:val="00B52B32"/>
    <w:rsid w:val="00B60A5D"/>
    <w:rsid w:val="00B615AF"/>
    <w:rsid w:val="00B6668C"/>
    <w:rsid w:val="00B845BC"/>
    <w:rsid w:val="00B84AFF"/>
    <w:rsid w:val="00B87FBA"/>
    <w:rsid w:val="00B92704"/>
    <w:rsid w:val="00B93498"/>
    <w:rsid w:val="00B9563F"/>
    <w:rsid w:val="00BE495A"/>
    <w:rsid w:val="00BF79F4"/>
    <w:rsid w:val="00C00C3F"/>
    <w:rsid w:val="00C2621C"/>
    <w:rsid w:val="00C47DC3"/>
    <w:rsid w:val="00C51C83"/>
    <w:rsid w:val="00C74E95"/>
    <w:rsid w:val="00CA5CC0"/>
    <w:rsid w:val="00CB20D8"/>
    <w:rsid w:val="00CB77A4"/>
    <w:rsid w:val="00CC2CA0"/>
    <w:rsid w:val="00D02D3F"/>
    <w:rsid w:val="00D217A6"/>
    <w:rsid w:val="00D250B6"/>
    <w:rsid w:val="00D45124"/>
    <w:rsid w:val="00D5166B"/>
    <w:rsid w:val="00D556BB"/>
    <w:rsid w:val="00D67C01"/>
    <w:rsid w:val="00DA3CC2"/>
    <w:rsid w:val="00DB02EE"/>
    <w:rsid w:val="00DC0EBB"/>
    <w:rsid w:val="00DC1581"/>
    <w:rsid w:val="00E022B5"/>
    <w:rsid w:val="00E143D3"/>
    <w:rsid w:val="00E41A01"/>
    <w:rsid w:val="00E42C42"/>
    <w:rsid w:val="00E7601F"/>
    <w:rsid w:val="00E94084"/>
    <w:rsid w:val="00EA1A8E"/>
    <w:rsid w:val="00EB79F5"/>
    <w:rsid w:val="00EC6122"/>
    <w:rsid w:val="00ED51EF"/>
    <w:rsid w:val="00ED6433"/>
    <w:rsid w:val="00EF0D61"/>
    <w:rsid w:val="00EF29DE"/>
    <w:rsid w:val="00EF6C0B"/>
    <w:rsid w:val="00F005D6"/>
    <w:rsid w:val="00F178FF"/>
    <w:rsid w:val="00F56555"/>
    <w:rsid w:val="00F84053"/>
    <w:rsid w:val="00F92242"/>
    <w:rsid w:val="00FE25C9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6A3"/>
  <w15:chartTrackingRefBased/>
  <w15:docId w15:val="{A13BE1DD-3440-244E-B827-6EB2745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522BB"/>
  </w:style>
  <w:style w:type="paragraph" w:styleId="Titolo1">
    <w:name w:val="heading 1"/>
    <w:basedOn w:val="Normale"/>
    <w:next w:val="Normale"/>
    <w:link w:val="Titolo1Carattere"/>
    <w:uiPriority w:val="9"/>
    <w:qFormat/>
    <w:rsid w:val="00C74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2BB"/>
  </w:style>
  <w:style w:type="paragraph" w:styleId="Pidipagina">
    <w:name w:val="footer"/>
    <w:basedOn w:val="Normale"/>
    <w:link w:val="PidipaginaCarattere"/>
    <w:uiPriority w:val="99"/>
    <w:unhideWhenUsed/>
    <w:rsid w:val="00152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2BB"/>
  </w:style>
  <w:style w:type="paragraph" w:customStyle="1" w:styleId="testolettera">
    <w:name w:val="testolettera"/>
    <w:basedOn w:val="Normale"/>
    <w:rsid w:val="001522B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table" w:styleId="Grigliatabella">
    <w:name w:val="Table Grid"/>
    <w:basedOn w:val="Tabellanormale"/>
    <w:rsid w:val="001522B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522BB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locked/>
    <w:rsid w:val="001522BB"/>
    <w:pPr>
      <w:autoSpaceDE w:val="0"/>
      <w:autoSpaceDN w:val="0"/>
      <w:spacing w:after="80"/>
      <w:jc w:val="both"/>
    </w:pPr>
    <w:rPr>
      <w:rFonts w:ascii="Arial" w:eastAsia="Calibri" w:hAnsi="Arial" w:cs="Arial"/>
      <w:color w:val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522BB"/>
    <w:rPr>
      <w:rFonts w:ascii="Avenir" w:hAnsi="Avenir" w:cs="Consolas"/>
      <w:kern w:val="2"/>
      <w:sz w:val="21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22BB"/>
    <w:rPr>
      <w:rFonts w:ascii="Avenir" w:hAnsi="Avenir" w:cs="Consolas"/>
      <w:kern w:val="2"/>
      <w:sz w:val="21"/>
      <w:szCs w:val="21"/>
      <w14:ligatures w14:val="standardContextual"/>
    </w:rPr>
  </w:style>
  <w:style w:type="paragraph" w:styleId="Revisione">
    <w:name w:val="Revision"/>
    <w:hidden/>
    <w:uiPriority w:val="99"/>
    <w:semiHidden/>
    <w:rsid w:val="00833928"/>
  </w:style>
  <w:style w:type="character" w:styleId="Menzionenonrisolta">
    <w:name w:val="Unresolved Mention"/>
    <w:basedOn w:val="Carpredefinitoparagrafo"/>
    <w:uiPriority w:val="99"/>
    <w:rsid w:val="007A6636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52542C"/>
    <w:pPr>
      <w:spacing w:after="120" w:line="288" w:lineRule="auto"/>
      <w:ind w:left="720"/>
      <w:contextualSpacing/>
    </w:pPr>
    <w:rPr>
      <w:rFonts w:ascii="Open Sans" w:hAnsi="Open Sans" w:cs="Open Sans"/>
      <w:sz w:val="20"/>
      <w:szCs w:val="22"/>
      <w:lang w:val="en-US"/>
    </w:rPr>
  </w:style>
  <w:style w:type="character" w:customStyle="1" w:styleId="searchkey">
    <w:name w:val="searchkey"/>
    <w:basedOn w:val="Carpredefinitoparagrafo"/>
    <w:rsid w:val="00C74E95"/>
  </w:style>
  <w:style w:type="character" w:customStyle="1" w:styleId="Titolo1Carattere">
    <w:name w:val="Titolo 1 Carattere"/>
    <w:basedOn w:val="Carpredefinitoparagrafo"/>
    <w:link w:val="Titolo1"/>
    <w:uiPriority w:val="9"/>
    <w:rsid w:val="00C74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835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873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757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172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21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825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498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88">
          <w:marLeft w:val="59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.prandini@secnewgate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ele.bon@secnewgat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e.pinosa@secnewgate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intyre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D133466808A498C1416447CE39A8D" ma:contentTypeVersion="22" ma:contentTypeDescription="Creare un nuovo documento." ma:contentTypeScope="" ma:versionID="a729c3c6ec5d03c879f38b110c9d3b2c">
  <xsd:schema xmlns:xsd="http://www.w3.org/2001/XMLSchema" xmlns:xs="http://www.w3.org/2001/XMLSchema" xmlns:p="http://schemas.microsoft.com/office/2006/metadata/properties" xmlns:ns2="3360bcac-185f-47cd-a7c7-53335a750539" xmlns:ns3="70162954-edc3-41f5-8ac4-252ea7a73ed9" xmlns:ns4="5ec7ff7d-d23b-446b-a187-565dcbc71d6c" targetNamespace="http://schemas.microsoft.com/office/2006/metadata/properties" ma:root="true" ma:fieldsID="4a0ad84249916ea6d86baf42cbe765b9" ns2:_="" ns3:_="" ns4:_="">
    <xsd:import namespace="3360bcac-185f-47cd-a7c7-53335a750539"/>
    <xsd:import namespace="70162954-edc3-41f5-8ac4-252ea7a73ed9"/>
    <xsd:import namespace="5ec7ff7d-d23b-446b-a187-565dcbc71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bcac-185f-47cd-a7c7-53335a750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b96ea8e-95c6-486c-993a-53c6af4f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2954-edc3-41f5-8ac4-252ea7a73e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6E4335-0EA5-4837-AE90-6D69C82B350A}" ma:internalName="TaxCatchAll" ma:showField="CatchAllData" ma:web="{5ec7ff7d-d23b-446b-a187-565dcbc71d6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ff7d-d23b-446b-a187-565dcbc7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35CAB-10BA-3342-A5E0-56EA48E94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FACBF-9B4D-42DC-9D2C-B3E82BA9B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05E5D-A3A6-4E94-89EA-E442B3C5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0bcac-185f-47cd-a7c7-53335a750539"/>
    <ds:schemaRef ds:uri="70162954-edc3-41f5-8ac4-252ea7a73ed9"/>
    <ds:schemaRef ds:uri="5ec7ff7d-d23b-446b-a187-565dcbc7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Pinosa</dc:creator>
  <cp:keywords/>
  <dc:description/>
  <cp:lastModifiedBy>Michele Bon</cp:lastModifiedBy>
  <cp:revision>4</cp:revision>
  <dcterms:created xsi:type="dcterms:W3CDTF">2024-02-01T14:07:00Z</dcterms:created>
  <dcterms:modified xsi:type="dcterms:W3CDTF">2024-02-06T08:51:00Z</dcterms:modified>
</cp:coreProperties>
</file>