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B957" w14:textId="77777777" w:rsidR="00E5199B" w:rsidRDefault="00E5199B" w:rsidP="00E5199B">
      <w:r>
        <w:rPr>
          <w:noProof/>
        </w:rPr>
        <w:drawing>
          <wp:inline distT="0" distB="0" distL="0" distR="0" wp14:anchorId="33D9D460" wp14:editId="46B52823">
            <wp:extent cx="2795455" cy="666427"/>
            <wp:effectExtent l="0" t="0" r="508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63" cy="674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020543" w14:textId="77777777" w:rsidR="00E5199B" w:rsidRDefault="00E5199B" w:rsidP="00E5199B">
      <w:pPr>
        <w:pStyle w:val="Nessunaspaziatura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D1A893" wp14:editId="3C3CCB6C">
                <wp:simplePos x="0" y="0"/>
                <wp:positionH relativeFrom="margin">
                  <wp:posOffset>3112135</wp:posOffset>
                </wp:positionH>
                <wp:positionV relativeFrom="paragraph">
                  <wp:posOffset>167640</wp:posOffset>
                </wp:positionV>
                <wp:extent cx="3225165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BA836" w14:textId="2566F2DD" w:rsidR="00E5199B" w:rsidRPr="00963386" w:rsidRDefault="00E5199B" w:rsidP="00BC5DF4">
                            <w:pPr>
                              <w:pStyle w:val="Nessunaspaziatura"/>
                              <w:jc w:val="right"/>
                              <w:rPr>
                                <w:lang w:val="en-US"/>
                              </w:rPr>
                            </w:pPr>
                            <w:r w:rsidRPr="00963386">
                              <w:rPr>
                                <w:lang w:val="en-US"/>
                              </w:rPr>
                              <w:t xml:space="preserve">Milano, </w:t>
                            </w:r>
                            <w:r w:rsidR="00CE0C88">
                              <w:rPr>
                                <w:lang w:val="en-US"/>
                              </w:rPr>
                              <w:t>2</w:t>
                            </w:r>
                            <w:r w:rsidR="00F545FE">
                              <w:rPr>
                                <w:lang w:val="en-US"/>
                              </w:rPr>
                              <w:t>6</w:t>
                            </w:r>
                            <w:r w:rsidR="00CE0C88">
                              <w:rPr>
                                <w:lang w:val="en-US"/>
                              </w:rPr>
                              <w:t xml:space="preserve"> febbraio</w:t>
                            </w:r>
                            <w:r w:rsidR="00CE0C88" w:rsidRPr="00A85DD4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A85DD4">
                              <w:rPr>
                                <w:lang w:val="en-US"/>
                              </w:rPr>
                              <w:t>202</w:t>
                            </w:r>
                            <w:r w:rsidR="004844D5">
                              <w:rPr>
                                <w:lang w:val="en-US"/>
                              </w:rPr>
                              <w:t>4</w:t>
                            </w:r>
                          </w:p>
                          <w:p w14:paraId="5250E899" w14:textId="77777777" w:rsidR="00E5199B" w:rsidRPr="00963386" w:rsidRDefault="00E5199B" w:rsidP="00E5199B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 w:rsidRPr="00963386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>Italian Equity Research – Strategy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D1A89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5.05pt;margin-top:13.2pt;width:25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" stroked="f">
                <v:textbox style="mso-fit-shape-to-text:t">
                  <w:txbxContent>
                    <w:p w14:paraId="375BA836" w14:textId="2566F2DD" w:rsidR="00E5199B" w:rsidRPr="00963386" w:rsidRDefault="00E5199B" w:rsidP="00BC5DF4">
                      <w:pPr>
                        <w:pStyle w:val="Nessunaspaziatura"/>
                        <w:jc w:val="right"/>
                        <w:rPr>
                          <w:lang w:val="en-US"/>
                        </w:rPr>
                      </w:pPr>
                      <w:r w:rsidRPr="00963386">
                        <w:rPr>
                          <w:lang w:val="en-US"/>
                        </w:rPr>
                        <w:t xml:space="preserve">Milano, </w:t>
                      </w:r>
                      <w:r w:rsidR="00CE0C88">
                        <w:rPr>
                          <w:lang w:val="en-US"/>
                        </w:rPr>
                        <w:t>2</w:t>
                      </w:r>
                      <w:r w:rsidR="00F545FE">
                        <w:rPr>
                          <w:lang w:val="en-US"/>
                        </w:rPr>
                        <w:t>6</w:t>
                      </w:r>
                      <w:r w:rsidR="00CE0C88">
                        <w:rPr>
                          <w:lang w:val="en-US"/>
                        </w:rPr>
                        <w:t xml:space="preserve"> febbraio</w:t>
                      </w:r>
                      <w:r w:rsidR="00CE0C88" w:rsidRPr="00A85DD4">
                        <w:rPr>
                          <w:lang w:val="en-US"/>
                        </w:rPr>
                        <w:t xml:space="preserve"> </w:t>
                      </w:r>
                      <w:r w:rsidRPr="00A85DD4">
                        <w:rPr>
                          <w:lang w:val="en-US"/>
                        </w:rPr>
                        <w:t>202</w:t>
                      </w:r>
                      <w:r w:rsidR="004844D5">
                        <w:rPr>
                          <w:lang w:val="en-US"/>
                        </w:rPr>
                        <w:t>4</w:t>
                      </w:r>
                    </w:p>
                    <w:p w14:paraId="5250E899" w14:textId="77777777" w:rsidR="00E5199B" w:rsidRPr="00963386" w:rsidRDefault="00E5199B" w:rsidP="00E5199B">
                      <w:pPr>
                        <w:jc w:val="right"/>
                        <w:rPr>
                          <w:lang w:val="en-US"/>
                        </w:rPr>
                      </w:pPr>
                      <w:r w:rsidRPr="00963386">
                        <w:rPr>
                          <w:b/>
                          <w:bCs/>
                          <w:color w:val="0070C0"/>
                          <w:lang w:val="en-US"/>
                        </w:rPr>
                        <w:t>Italian Equity Research – Strategy Report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90C031" w14:textId="77777777" w:rsidR="00E5199B" w:rsidRDefault="00E5199B" w:rsidP="00E5199B">
      <w:pPr>
        <w:pStyle w:val="Nessunaspaziatura"/>
      </w:pPr>
    </w:p>
    <w:tbl>
      <w:tblPr>
        <w:tblStyle w:val="TableNormal"/>
        <w:tblW w:w="9527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527"/>
      </w:tblGrid>
      <w:tr w:rsidR="00E5199B" w:rsidRPr="00843E74" w14:paraId="28F691FF" w14:textId="77777777" w:rsidTr="00CE0359">
        <w:trPr>
          <w:trHeight w:val="971"/>
        </w:trPr>
        <w:tc>
          <w:tcPr>
            <w:tcW w:w="9527" w:type="dxa"/>
          </w:tcPr>
          <w:p w14:paraId="2A2A0460" w14:textId="3D39B38C" w:rsidR="00E5199B" w:rsidRPr="000342D6" w:rsidRDefault="001D30F7" w:rsidP="00382832">
            <w:pPr>
              <w:spacing w:line="611" w:lineRule="exact"/>
              <w:ind w:left="74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0342D6">
              <w:rPr>
                <w:rFonts w:ascii="Calibri" w:eastAsia="Calibri" w:hAnsi="Calibri" w:cs="Calibri"/>
                <w:b/>
                <w:color w:val="075292"/>
                <w:sz w:val="50"/>
                <w:szCs w:val="50"/>
              </w:rPr>
              <w:t>Report mensile sulle</w:t>
            </w:r>
            <w:r w:rsidRPr="000342D6">
              <w:rPr>
                <w:rFonts w:ascii="Calibri" w:eastAsia="Calibri" w:hAnsi="Calibri" w:cs="Calibri"/>
                <w:b/>
                <w:color w:val="075292"/>
                <w:spacing w:val="-2"/>
                <w:sz w:val="50"/>
                <w:szCs w:val="50"/>
              </w:rPr>
              <w:t xml:space="preserve"> </w:t>
            </w:r>
            <w:r w:rsidRPr="000342D6">
              <w:rPr>
                <w:rFonts w:ascii="Calibri" w:eastAsia="Calibri" w:hAnsi="Calibri" w:cs="Calibri"/>
                <w:b/>
                <w:color w:val="075292"/>
                <w:sz w:val="50"/>
                <w:szCs w:val="50"/>
              </w:rPr>
              <w:t>Mid</w:t>
            </w:r>
            <w:r w:rsidR="00CE0359">
              <w:rPr>
                <w:rFonts w:ascii="Calibri" w:eastAsia="Calibri" w:hAnsi="Calibri" w:cs="Calibri"/>
                <w:b/>
                <w:color w:val="075292"/>
                <w:spacing w:val="-3"/>
                <w:sz w:val="50"/>
                <w:szCs w:val="50"/>
              </w:rPr>
              <w:t>-</w:t>
            </w:r>
            <w:r w:rsidRPr="000342D6">
              <w:rPr>
                <w:rFonts w:ascii="Calibri" w:eastAsia="Calibri" w:hAnsi="Calibri" w:cs="Calibri"/>
                <w:b/>
                <w:color w:val="075292"/>
                <w:sz w:val="50"/>
                <w:szCs w:val="50"/>
              </w:rPr>
              <w:t>Small</w:t>
            </w:r>
            <w:r w:rsidRPr="000342D6">
              <w:rPr>
                <w:rFonts w:ascii="Calibri" w:eastAsia="Calibri" w:hAnsi="Calibri" w:cs="Calibri"/>
                <w:b/>
                <w:color w:val="075292"/>
                <w:spacing w:val="-2"/>
                <w:sz w:val="50"/>
                <w:szCs w:val="50"/>
              </w:rPr>
              <w:t xml:space="preserve"> </w:t>
            </w:r>
            <w:r w:rsidRPr="000342D6">
              <w:rPr>
                <w:rFonts w:ascii="Calibri" w:eastAsia="Calibri" w:hAnsi="Calibri" w:cs="Calibri"/>
                <w:b/>
                <w:color w:val="075292"/>
                <w:sz w:val="50"/>
                <w:szCs w:val="50"/>
              </w:rPr>
              <w:t>Cap italiane</w:t>
            </w:r>
          </w:p>
        </w:tc>
      </w:tr>
      <w:tr w:rsidR="00E5199B" w:rsidRPr="00CE0359" w14:paraId="6EBFD062" w14:textId="77777777" w:rsidTr="00CE0359">
        <w:trPr>
          <w:trHeight w:val="477"/>
        </w:trPr>
        <w:tc>
          <w:tcPr>
            <w:tcW w:w="9527" w:type="dxa"/>
          </w:tcPr>
          <w:p w14:paraId="6691030C" w14:textId="77777777" w:rsidR="00DD7F33" w:rsidRDefault="00DD7F33" w:rsidP="00DD7F33">
            <w:pPr>
              <w:spacing w:before="83"/>
              <w:ind w:left="74"/>
              <w:rPr>
                <w:rFonts w:ascii="Calibri" w:eastAsia="Calibri" w:hAnsi="Calibri" w:cs="Calibri"/>
                <w:b/>
                <w:bCs/>
                <w:color w:val="808080"/>
                <w:sz w:val="36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color w:val="808080"/>
                <w:sz w:val="36"/>
                <w:lang w:val="it-IT"/>
              </w:rPr>
              <w:t xml:space="preserve">Focus sui fondamentali dopo una nuova serie di delisting </w:t>
            </w:r>
          </w:p>
          <w:p w14:paraId="164BA32E" w14:textId="37F367B4" w:rsidR="00DD7F33" w:rsidRPr="00DD7F33" w:rsidRDefault="00DD7F33" w:rsidP="00DD7F33">
            <w:pPr>
              <w:spacing w:before="83"/>
              <w:ind w:left="74"/>
              <w:rPr>
                <w:rFonts w:ascii="Calibri" w:eastAsia="Calibri" w:hAnsi="Calibri" w:cs="Calibri"/>
                <w:b/>
                <w:bCs/>
                <w:color w:val="808080"/>
                <w:sz w:val="10"/>
                <w:szCs w:val="10"/>
                <w:lang w:val="it-IT"/>
              </w:rPr>
            </w:pPr>
          </w:p>
        </w:tc>
      </w:tr>
    </w:tbl>
    <w:p w14:paraId="4FAA340A" w14:textId="37BE0E4F" w:rsidR="00E5199B" w:rsidRPr="00CE0359" w:rsidRDefault="00CE0359" w:rsidP="00E5199B">
      <w:pPr>
        <w:pStyle w:val="Nessunaspaziatura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4B4AC" wp14:editId="3559BB4D">
                <wp:simplePos x="0" y="0"/>
                <wp:positionH relativeFrom="margin">
                  <wp:posOffset>-66675</wp:posOffset>
                </wp:positionH>
                <wp:positionV relativeFrom="paragraph">
                  <wp:posOffset>84455</wp:posOffset>
                </wp:positionV>
                <wp:extent cx="1666068" cy="0"/>
                <wp:effectExtent l="0" t="0" r="29845" b="3810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0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28452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25pt,6.65pt" to="125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4F9B47F6" w14:textId="7F5882AA" w:rsidR="00E5199B" w:rsidRPr="006D4639" w:rsidRDefault="00E5199B" w:rsidP="00E5199B">
      <w:pPr>
        <w:pStyle w:val="Nessunaspaziatura"/>
        <w:jc w:val="both"/>
        <w:rPr>
          <w:i/>
          <w:iCs/>
          <w:lang w:val="en-US"/>
        </w:rPr>
      </w:pPr>
      <w:r w:rsidRPr="006D4639">
        <w:rPr>
          <w:i/>
          <w:iCs/>
          <w:lang w:val="en-US"/>
        </w:rPr>
        <w:t xml:space="preserve">A cura </w:t>
      </w:r>
      <w:r w:rsidR="00E6267D" w:rsidRPr="006D4639">
        <w:rPr>
          <w:i/>
          <w:iCs/>
          <w:lang w:val="en-US"/>
        </w:rPr>
        <w:t xml:space="preserve">di </w:t>
      </w:r>
      <w:r w:rsidR="00BC5658" w:rsidRPr="006D4639">
        <w:rPr>
          <w:i/>
          <w:iCs/>
          <w:lang w:val="en-US"/>
        </w:rPr>
        <w:t>Andrea Randone, Head of Mid Small Cap Research di Intermonte</w:t>
      </w:r>
    </w:p>
    <w:p w14:paraId="08A7A6F9" w14:textId="77777777" w:rsidR="00DC0BA7" w:rsidRPr="006D4639" w:rsidRDefault="00DC0BA7" w:rsidP="00DC0BA7">
      <w:pPr>
        <w:spacing w:after="120" w:line="250" w:lineRule="exact"/>
        <w:rPr>
          <w:b/>
          <w:bCs/>
          <w:lang w:val="en-US"/>
        </w:rPr>
      </w:pPr>
    </w:p>
    <w:p w14:paraId="47129A7C" w14:textId="4FE6B8D9" w:rsidR="00AD6670" w:rsidRDefault="004C315F" w:rsidP="00C61A86">
      <w:pPr>
        <w:pStyle w:val="Bullets"/>
        <w:numPr>
          <w:ilvl w:val="0"/>
          <w:numId w:val="23"/>
        </w:numPr>
        <w:spacing w:after="0" w:line="240" w:lineRule="auto"/>
        <w:ind w:left="426"/>
        <w:rPr>
          <w:spacing w:val="-4"/>
          <w:sz w:val="22"/>
          <w:szCs w:val="22"/>
        </w:rPr>
      </w:pPr>
      <w:r w:rsidRPr="007A5510">
        <w:rPr>
          <w:b/>
          <w:bCs/>
          <w:spacing w:val="-4"/>
          <w:sz w:val="22"/>
          <w:szCs w:val="22"/>
        </w:rPr>
        <w:t>Performance (</w:t>
      </w:r>
      <w:r w:rsidR="00B7018E">
        <w:rPr>
          <w:b/>
          <w:bCs/>
          <w:spacing w:val="-4"/>
          <w:sz w:val="22"/>
          <w:szCs w:val="22"/>
        </w:rPr>
        <w:t>-</w:t>
      </w:r>
      <w:r w:rsidRPr="007A5510">
        <w:rPr>
          <w:b/>
          <w:bCs/>
          <w:spacing w:val="-4"/>
          <w:sz w:val="22"/>
          <w:szCs w:val="22"/>
        </w:rPr>
        <w:t>).</w:t>
      </w:r>
      <w:r w:rsidR="00BE0E9D">
        <w:rPr>
          <w:spacing w:val="-4"/>
          <w:sz w:val="22"/>
          <w:szCs w:val="22"/>
        </w:rPr>
        <w:t xml:space="preserve"> </w:t>
      </w:r>
      <w:r w:rsidR="00AD6670" w:rsidRPr="00AD6670">
        <w:rPr>
          <w:spacing w:val="-4"/>
          <w:sz w:val="22"/>
          <w:szCs w:val="22"/>
        </w:rPr>
        <w:t xml:space="preserve">Il mercato azionario italiano (prezzi al 16 febbraio 2024) ha registrato una performance positiva del 4,4% nell'ultimo mese ed è in rialzo del 4,3% su base annua. L'indice FTSE Italy Mid-Cap (+2,7%) ha sottoperformato l'indice principale dell'1,7% nell'ultimo mese (-2,1% </w:t>
      </w:r>
      <w:r w:rsidR="00AD6670" w:rsidRPr="00BE0E9D">
        <w:rPr>
          <w:spacing w:val="-4"/>
          <w:sz w:val="22"/>
          <w:szCs w:val="22"/>
        </w:rPr>
        <w:t>su base annua</w:t>
      </w:r>
      <w:r w:rsidR="00C04F80">
        <w:rPr>
          <w:spacing w:val="-4"/>
          <w:sz w:val="22"/>
          <w:szCs w:val="22"/>
        </w:rPr>
        <w:t xml:space="preserve"> relativa</w:t>
      </w:r>
      <w:r w:rsidR="00AD6670" w:rsidRPr="00AD6670">
        <w:rPr>
          <w:spacing w:val="-4"/>
          <w:sz w:val="22"/>
          <w:szCs w:val="22"/>
        </w:rPr>
        <w:t>), mentre l'indice FTSE Italy Small Caps (+0,1%) ha registrato una performance del 4,3% inferiore al mercato</w:t>
      </w:r>
      <w:r w:rsidR="00D0058F">
        <w:rPr>
          <w:spacing w:val="-4"/>
          <w:sz w:val="22"/>
          <w:szCs w:val="22"/>
        </w:rPr>
        <w:t xml:space="preserve"> e</w:t>
      </w:r>
      <w:r w:rsidR="00AD6670" w:rsidRPr="00AD6670">
        <w:rPr>
          <w:spacing w:val="-4"/>
          <w:sz w:val="22"/>
          <w:szCs w:val="22"/>
        </w:rPr>
        <w:t xml:space="preserve"> del </w:t>
      </w:r>
      <w:r w:rsidR="00D0058F">
        <w:rPr>
          <w:spacing w:val="-4"/>
          <w:sz w:val="22"/>
          <w:szCs w:val="22"/>
        </w:rPr>
        <w:t>-</w:t>
      </w:r>
      <w:r w:rsidR="00AD6670" w:rsidRPr="00AD6670">
        <w:rPr>
          <w:spacing w:val="-4"/>
          <w:sz w:val="22"/>
          <w:szCs w:val="22"/>
        </w:rPr>
        <w:t xml:space="preserve">6,8% su base relativa dall'inizio del 2024. Guardando alle performance delle mid/small cap in Europa, l'indice MSCI Europe Small Caps è </w:t>
      </w:r>
      <w:r w:rsidR="00CD06EE">
        <w:rPr>
          <w:spacing w:val="-4"/>
          <w:sz w:val="22"/>
          <w:szCs w:val="22"/>
        </w:rPr>
        <w:t>salito</w:t>
      </w:r>
      <w:r w:rsidR="00AD6670" w:rsidRPr="00AD6670">
        <w:rPr>
          <w:spacing w:val="-4"/>
          <w:sz w:val="22"/>
          <w:szCs w:val="22"/>
        </w:rPr>
        <w:t xml:space="preserve"> del 2,4% nell'ultimo mese, </w:t>
      </w:r>
      <w:r w:rsidR="00CD06EE">
        <w:rPr>
          <w:spacing w:val="-4"/>
          <w:sz w:val="22"/>
          <w:szCs w:val="22"/>
        </w:rPr>
        <w:t>registrando</w:t>
      </w:r>
      <w:r w:rsidR="00AD6670" w:rsidRPr="00AD6670">
        <w:rPr>
          <w:spacing w:val="-4"/>
          <w:sz w:val="22"/>
          <w:szCs w:val="22"/>
        </w:rPr>
        <w:t xml:space="preserve"> una performance quasi in linea con le mid-cap italiane.</w:t>
      </w:r>
    </w:p>
    <w:p w14:paraId="5646C8EF" w14:textId="201A6EF0" w:rsidR="00CD06EE" w:rsidRDefault="006D11BB" w:rsidP="00F950CC">
      <w:pPr>
        <w:pStyle w:val="Bullets"/>
        <w:numPr>
          <w:ilvl w:val="0"/>
          <w:numId w:val="23"/>
        </w:numPr>
        <w:spacing w:line="240" w:lineRule="auto"/>
        <w:ind w:left="426"/>
        <w:rPr>
          <w:spacing w:val="-4"/>
          <w:sz w:val="22"/>
          <w:szCs w:val="22"/>
        </w:rPr>
      </w:pPr>
      <w:r w:rsidRPr="00D5152B">
        <w:rPr>
          <w:b/>
          <w:bCs/>
          <w:spacing w:val="-4"/>
          <w:sz w:val="22"/>
          <w:szCs w:val="22"/>
        </w:rPr>
        <w:t>Stime (</w:t>
      </w:r>
      <w:r w:rsidR="00B7018E">
        <w:rPr>
          <w:b/>
          <w:bCs/>
          <w:spacing w:val="-4"/>
          <w:sz w:val="22"/>
          <w:szCs w:val="22"/>
        </w:rPr>
        <w:t>-</w:t>
      </w:r>
      <w:r w:rsidRPr="00D5152B">
        <w:rPr>
          <w:b/>
          <w:bCs/>
          <w:spacing w:val="-4"/>
          <w:sz w:val="22"/>
          <w:szCs w:val="22"/>
        </w:rPr>
        <w:t>).</w:t>
      </w:r>
      <w:r w:rsidRPr="00D5152B">
        <w:rPr>
          <w:spacing w:val="-4"/>
          <w:sz w:val="22"/>
          <w:szCs w:val="22"/>
        </w:rPr>
        <w:t xml:space="preserve"> </w:t>
      </w:r>
      <w:r w:rsidR="00CD06EE" w:rsidRPr="00CD06EE">
        <w:rPr>
          <w:spacing w:val="-4"/>
          <w:sz w:val="22"/>
          <w:szCs w:val="22"/>
        </w:rPr>
        <w:t xml:space="preserve">Dall'inizio del 2024, abbiamo attuato una revisione al rialzo del +3,5%/+1,3% delle nostre stime sugli EPS </w:t>
      </w:r>
      <w:r w:rsidR="00CD06EE">
        <w:rPr>
          <w:spacing w:val="-4"/>
          <w:sz w:val="22"/>
          <w:szCs w:val="22"/>
        </w:rPr>
        <w:t xml:space="preserve">per il </w:t>
      </w:r>
      <w:r w:rsidR="00CD06EE" w:rsidRPr="00CD06EE">
        <w:rPr>
          <w:spacing w:val="-4"/>
          <w:sz w:val="22"/>
          <w:szCs w:val="22"/>
        </w:rPr>
        <w:t xml:space="preserve">2023/2024; concentrandoci sulla </w:t>
      </w:r>
      <w:r w:rsidR="00CD06EE">
        <w:rPr>
          <w:spacing w:val="-4"/>
          <w:sz w:val="22"/>
          <w:szCs w:val="22"/>
        </w:rPr>
        <w:t xml:space="preserve">nostra </w:t>
      </w:r>
      <w:r w:rsidR="00CD06EE" w:rsidRPr="00CD06EE">
        <w:rPr>
          <w:spacing w:val="-4"/>
          <w:sz w:val="22"/>
          <w:szCs w:val="22"/>
        </w:rPr>
        <w:t xml:space="preserve">copertura delle mid/small cap, invece, abbiamo ridotto gli EPS </w:t>
      </w:r>
      <w:r w:rsidR="00CD06EE">
        <w:rPr>
          <w:spacing w:val="-4"/>
          <w:sz w:val="22"/>
          <w:szCs w:val="22"/>
        </w:rPr>
        <w:t xml:space="preserve">per il </w:t>
      </w:r>
      <w:r w:rsidR="00CD06EE" w:rsidRPr="00CD06EE">
        <w:rPr>
          <w:spacing w:val="-4"/>
          <w:sz w:val="22"/>
          <w:szCs w:val="22"/>
        </w:rPr>
        <w:t xml:space="preserve">2023/2024 del -1,2%/-1,3%. In particolare, la revisione delle stime sulle mid/small cap è stata attuata quasi interamente </w:t>
      </w:r>
      <w:r w:rsidR="00243527">
        <w:rPr>
          <w:spacing w:val="-4"/>
          <w:sz w:val="22"/>
          <w:szCs w:val="22"/>
        </w:rPr>
        <w:t>nel corso d</w:t>
      </w:r>
      <w:r w:rsidR="00CD06EE" w:rsidRPr="00CD06EE">
        <w:rPr>
          <w:spacing w:val="-4"/>
          <w:sz w:val="22"/>
          <w:szCs w:val="22"/>
        </w:rPr>
        <w:t xml:space="preserve">ell'ultimo mese sulla base di indicazioni aggiornate </w:t>
      </w:r>
      <w:r w:rsidR="00547558">
        <w:rPr>
          <w:spacing w:val="-4"/>
          <w:sz w:val="22"/>
          <w:szCs w:val="22"/>
        </w:rPr>
        <w:t>da parte del</w:t>
      </w:r>
      <w:r w:rsidR="00CD06EE" w:rsidRPr="00CD06EE">
        <w:rPr>
          <w:spacing w:val="-4"/>
          <w:sz w:val="22"/>
          <w:szCs w:val="22"/>
        </w:rPr>
        <w:t xml:space="preserve"> management.</w:t>
      </w:r>
    </w:p>
    <w:p w14:paraId="17AAB783" w14:textId="36E35C09" w:rsidR="00567C88" w:rsidRPr="00567C88" w:rsidRDefault="00E542BA" w:rsidP="00C61A86">
      <w:pPr>
        <w:pStyle w:val="Bullets"/>
        <w:numPr>
          <w:ilvl w:val="0"/>
          <w:numId w:val="23"/>
        </w:numPr>
        <w:spacing w:line="240" w:lineRule="auto"/>
        <w:ind w:left="426"/>
        <w:rPr>
          <w:spacing w:val="-4"/>
          <w:sz w:val="22"/>
          <w:szCs w:val="22"/>
        </w:rPr>
      </w:pPr>
      <w:r w:rsidRPr="00C61A86">
        <w:rPr>
          <w:b/>
          <w:bCs/>
          <w:spacing w:val="-4"/>
          <w:sz w:val="22"/>
          <w:szCs w:val="22"/>
        </w:rPr>
        <w:t xml:space="preserve">Valutazioni </w:t>
      </w:r>
      <w:r w:rsidR="00DC24E2" w:rsidRPr="00C61A86">
        <w:rPr>
          <w:b/>
          <w:bCs/>
          <w:spacing w:val="-4"/>
          <w:sz w:val="22"/>
          <w:szCs w:val="22"/>
        </w:rPr>
        <w:t>(</w:t>
      </w:r>
      <w:r w:rsidR="00B7018E">
        <w:rPr>
          <w:b/>
          <w:bCs/>
          <w:spacing w:val="-4"/>
          <w:sz w:val="22"/>
          <w:szCs w:val="22"/>
        </w:rPr>
        <w:t>=</w:t>
      </w:r>
      <w:r w:rsidRPr="00C61A86">
        <w:rPr>
          <w:b/>
          <w:bCs/>
          <w:spacing w:val="-4"/>
          <w:sz w:val="22"/>
          <w:szCs w:val="22"/>
        </w:rPr>
        <w:t>).</w:t>
      </w:r>
      <w:r w:rsidR="00A638D1" w:rsidRPr="00C61A86">
        <w:rPr>
          <w:b/>
          <w:bCs/>
          <w:spacing w:val="-4"/>
          <w:sz w:val="22"/>
          <w:szCs w:val="22"/>
        </w:rPr>
        <w:t xml:space="preserve"> </w:t>
      </w:r>
      <w:r w:rsidR="00567C88" w:rsidRPr="00567C88">
        <w:rPr>
          <w:spacing w:val="-4"/>
          <w:sz w:val="22"/>
          <w:szCs w:val="22"/>
        </w:rPr>
        <w:t xml:space="preserve">Se confrontiamo la performance YtD con la variazione delle stime </w:t>
      </w:r>
      <w:r w:rsidR="00567C88" w:rsidRPr="002868C0">
        <w:rPr>
          <w:spacing w:val="-4"/>
          <w:sz w:val="22"/>
          <w:szCs w:val="22"/>
        </w:rPr>
        <w:t>per l'esercizio ‘2</w:t>
      </w:r>
      <w:r w:rsidR="00567C88">
        <w:rPr>
          <w:spacing w:val="-4"/>
          <w:sz w:val="22"/>
          <w:szCs w:val="22"/>
        </w:rPr>
        <w:t>4</w:t>
      </w:r>
      <w:r w:rsidR="00567C88" w:rsidRPr="00567C88">
        <w:rPr>
          <w:spacing w:val="-4"/>
          <w:sz w:val="22"/>
          <w:szCs w:val="22"/>
        </w:rPr>
        <w:t xml:space="preserve"> nello stesso periodo, vediamo che i titoli del FTSE MIB hanno registrato un re-rating YtD del 3,0% (invertendo il trend negativo registrato un mese fa); le mid-cap si sono rivalutate del 3,5%, mentre le small-cap </w:t>
      </w:r>
      <w:r w:rsidR="00567C88" w:rsidRPr="00F950CC">
        <w:rPr>
          <w:spacing w:val="-4"/>
          <w:sz w:val="22"/>
          <w:szCs w:val="22"/>
        </w:rPr>
        <w:t>hanno registrato un de-rating</w:t>
      </w:r>
      <w:r w:rsidR="00567C88" w:rsidRPr="00567C88">
        <w:rPr>
          <w:spacing w:val="-4"/>
          <w:sz w:val="22"/>
          <w:szCs w:val="22"/>
        </w:rPr>
        <w:t xml:space="preserve"> dello 0,9%. Su base P/E, il nostro panel è scambiato con un premio del 33% rispetto alle large cap, </w:t>
      </w:r>
      <w:r w:rsidR="00567C88" w:rsidRPr="002868C0">
        <w:rPr>
          <w:spacing w:val="-4"/>
          <w:sz w:val="22"/>
          <w:szCs w:val="22"/>
        </w:rPr>
        <w:t xml:space="preserve">ben al di sopra </w:t>
      </w:r>
      <w:r w:rsidR="00567C88">
        <w:rPr>
          <w:spacing w:val="-4"/>
          <w:sz w:val="22"/>
          <w:szCs w:val="22"/>
        </w:rPr>
        <w:t>del</w:t>
      </w:r>
      <w:r w:rsidR="00567C88" w:rsidRPr="00F950CC">
        <w:rPr>
          <w:spacing w:val="-4"/>
          <w:sz w:val="22"/>
          <w:szCs w:val="22"/>
        </w:rPr>
        <w:t xml:space="preserve"> premio </w:t>
      </w:r>
      <w:r w:rsidR="00567C88" w:rsidRPr="00567C88">
        <w:rPr>
          <w:spacing w:val="-4"/>
          <w:sz w:val="22"/>
          <w:szCs w:val="22"/>
        </w:rPr>
        <w:t>medio storico (17%)</w:t>
      </w:r>
      <w:r w:rsidR="00567C88">
        <w:rPr>
          <w:spacing w:val="-4"/>
          <w:sz w:val="22"/>
          <w:szCs w:val="22"/>
        </w:rPr>
        <w:t>,</w:t>
      </w:r>
      <w:r w:rsidR="00567C88" w:rsidRPr="00567C88">
        <w:rPr>
          <w:spacing w:val="-4"/>
          <w:sz w:val="22"/>
          <w:szCs w:val="22"/>
        </w:rPr>
        <w:t xml:space="preserve"> ma in linea con il livello di un mese fa (33%).</w:t>
      </w:r>
      <w:r w:rsidR="00567C88">
        <w:rPr>
          <w:spacing w:val="-4"/>
          <w:sz w:val="22"/>
          <w:szCs w:val="22"/>
        </w:rPr>
        <w:t xml:space="preserve"> </w:t>
      </w:r>
    </w:p>
    <w:p w14:paraId="2071DBDB" w14:textId="4517A95B" w:rsidR="00DC25E1" w:rsidRPr="00DC25E1" w:rsidRDefault="008104DC" w:rsidP="00D258C0">
      <w:pPr>
        <w:pStyle w:val="Bullets"/>
        <w:numPr>
          <w:ilvl w:val="0"/>
          <w:numId w:val="23"/>
        </w:numPr>
        <w:spacing w:line="240" w:lineRule="auto"/>
        <w:ind w:left="426"/>
        <w:rPr>
          <w:spacing w:val="-4"/>
          <w:sz w:val="22"/>
          <w:szCs w:val="22"/>
        </w:rPr>
      </w:pPr>
      <w:r w:rsidRPr="0098513F">
        <w:rPr>
          <w:b/>
          <w:bCs/>
          <w:spacing w:val="-4"/>
          <w:sz w:val="22"/>
          <w:szCs w:val="22"/>
        </w:rPr>
        <w:t>Liquidità (</w:t>
      </w:r>
      <w:r w:rsidR="00F670F8">
        <w:rPr>
          <w:b/>
          <w:bCs/>
          <w:spacing w:val="-4"/>
          <w:sz w:val="22"/>
          <w:szCs w:val="22"/>
        </w:rPr>
        <w:t>-</w:t>
      </w:r>
      <w:r w:rsidRPr="0098513F">
        <w:rPr>
          <w:b/>
          <w:bCs/>
          <w:spacing w:val="-4"/>
          <w:sz w:val="22"/>
          <w:szCs w:val="22"/>
        </w:rPr>
        <w:t>).</w:t>
      </w:r>
      <w:r w:rsidR="00FD5113" w:rsidRPr="0098513F">
        <w:rPr>
          <w:b/>
          <w:bCs/>
          <w:spacing w:val="-4"/>
          <w:sz w:val="22"/>
          <w:szCs w:val="22"/>
        </w:rPr>
        <w:t xml:space="preserve"> </w:t>
      </w:r>
      <w:r w:rsidR="00DC25E1" w:rsidRPr="008F0D71">
        <w:rPr>
          <w:spacing w:val="-4"/>
          <w:sz w:val="22"/>
          <w:szCs w:val="22"/>
        </w:rPr>
        <w:t xml:space="preserve">Osservando l'andamento degli indici ufficiali italiani, notiamo che la liquidità delle large cap nell'ultimo mese (misurata moltiplicando i volumi medi per i prezzi medi in un determinato periodo) è superiore dell'1,4% rispetto allo stesso periodo di un anno fa ed è in crescita del 6,3% </w:t>
      </w:r>
      <w:r w:rsidR="008F0D71" w:rsidRPr="008F0D71">
        <w:rPr>
          <w:spacing w:val="-4"/>
          <w:sz w:val="22"/>
          <w:szCs w:val="22"/>
        </w:rPr>
        <w:t>a livello annuale</w:t>
      </w:r>
      <w:r w:rsidR="00DC25E1" w:rsidRPr="008F0D71">
        <w:rPr>
          <w:spacing w:val="-4"/>
          <w:sz w:val="22"/>
          <w:szCs w:val="22"/>
        </w:rPr>
        <w:t xml:space="preserve">. Il quadro è più preoccupante per le mid/small cap: nello specifico, la liquidità </w:t>
      </w:r>
      <w:r w:rsidR="008F0D71" w:rsidRPr="008F0D71">
        <w:rPr>
          <w:spacing w:val="-4"/>
          <w:sz w:val="22"/>
          <w:szCs w:val="22"/>
        </w:rPr>
        <w:t xml:space="preserve">per le mid cap </w:t>
      </w:r>
      <w:r w:rsidR="00DC25E1" w:rsidRPr="008F0D71">
        <w:rPr>
          <w:spacing w:val="-4"/>
          <w:sz w:val="22"/>
          <w:szCs w:val="22"/>
        </w:rPr>
        <w:t xml:space="preserve">è scesa del 3,1% </w:t>
      </w:r>
      <w:r w:rsidR="008F0D71" w:rsidRPr="008F0D71">
        <w:rPr>
          <w:spacing w:val="-4"/>
          <w:sz w:val="22"/>
          <w:szCs w:val="22"/>
        </w:rPr>
        <w:t xml:space="preserve">YoY, mentre è scesa </w:t>
      </w:r>
      <w:r w:rsidR="00DC25E1" w:rsidRPr="008F0D71">
        <w:rPr>
          <w:spacing w:val="-4"/>
          <w:sz w:val="22"/>
          <w:szCs w:val="22"/>
        </w:rPr>
        <w:t xml:space="preserve">del 26,7% </w:t>
      </w:r>
      <w:r w:rsidR="008F0D71" w:rsidRPr="008F0D71">
        <w:rPr>
          <w:spacing w:val="-4"/>
          <w:sz w:val="22"/>
          <w:szCs w:val="22"/>
        </w:rPr>
        <w:t>YoY per le small cap</w:t>
      </w:r>
      <w:r w:rsidR="00DC25E1" w:rsidRPr="008F0D71">
        <w:rPr>
          <w:spacing w:val="-4"/>
          <w:sz w:val="22"/>
          <w:szCs w:val="22"/>
        </w:rPr>
        <w:t>, che hanno registrato dati molto deboli nell'ultimo mese.</w:t>
      </w:r>
      <w:r w:rsidR="00DC25E1">
        <w:rPr>
          <w:b/>
          <w:bCs/>
          <w:spacing w:val="-4"/>
          <w:sz w:val="22"/>
          <w:szCs w:val="22"/>
        </w:rPr>
        <w:t xml:space="preserve"> </w:t>
      </w:r>
    </w:p>
    <w:p w14:paraId="4BE9E907" w14:textId="76DD012A" w:rsidR="0016547C" w:rsidRDefault="0098513F" w:rsidP="00687651">
      <w:pPr>
        <w:pStyle w:val="Bullets"/>
        <w:numPr>
          <w:ilvl w:val="0"/>
          <w:numId w:val="23"/>
        </w:numPr>
        <w:spacing w:after="0" w:line="240" w:lineRule="auto"/>
        <w:ind w:left="426"/>
        <w:rPr>
          <w:color w:val="auto"/>
          <w:spacing w:val="-4"/>
          <w:sz w:val="22"/>
          <w:szCs w:val="22"/>
        </w:rPr>
      </w:pPr>
      <w:r w:rsidRPr="00687651">
        <w:rPr>
          <w:b/>
          <w:bCs/>
          <w:color w:val="auto"/>
          <w:spacing w:val="-4"/>
          <w:sz w:val="22"/>
          <w:szCs w:val="22"/>
        </w:rPr>
        <w:t>S</w:t>
      </w:r>
      <w:r w:rsidR="00DA424B" w:rsidRPr="00687651">
        <w:rPr>
          <w:b/>
          <w:bCs/>
          <w:color w:val="auto"/>
          <w:spacing w:val="-4"/>
          <w:sz w:val="22"/>
          <w:szCs w:val="22"/>
        </w:rPr>
        <w:t>trategia d’investimento.</w:t>
      </w:r>
      <w:r w:rsidR="00DA424B" w:rsidRPr="00687651">
        <w:rPr>
          <w:color w:val="auto"/>
          <w:spacing w:val="-4"/>
          <w:sz w:val="22"/>
          <w:szCs w:val="22"/>
        </w:rPr>
        <w:t xml:space="preserve"> </w:t>
      </w:r>
      <w:r w:rsidR="00687651" w:rsidRPr="00687651">
        <w:rPr>
          <w:color w:val="auto"/>
          <w:spacing w:val="-4"/>
          <w:sz w:val="22"/>
          <w:szCs w:val="22"/>
        </w:rPr>
        <w:t xml:space="preserve">Nell’ultimo mese, la performance del mercato è stata sostenuta dalla pubblicazione di una serie di risultati positivi per l’anno fiscale 2023, ma anche dall’annuncio di nuove acquisizioni (Tod’s, Saras e UnipolSai) che hanno reso ancora più difficile per gli stock picker sovraperformare il mercato. Manteniamo la nostra visione fondamentale che assume un graduale calo dei tassi di interesse e confermiamo la nostra visione positiva sulle mid/small cap italiane nonostante le tensioni geopolitiche. In vista delle settimane cruciali della stagione dei risultati, riteniamo che nel segmento vi siano diversi titoli con eccellenti prospettive di crescita e valutazioni generalmente interessanti. La nostra preferenza va in particolare a quei titoli con elevata visibilità sulle stime e modelli di business resilienti, come le società che supportano la trasformazione digitale, le utilities, alcuni industriali legati a piani di investimento a lungo termine e i consumers con un buon posizionamento e pricing power. Il quadro della liquidità resta un aspetto </w:t>
      </w:r>
      <w:r w:rsidR="00687651" w:rsidRPr="00687651">
        <w:rPr>
          <w:color w:val="auto"/>
          <w:spacing w:val="-4"/>
          <w:sz w:val="22"/>
          <w:szCs w:val="22"/>
        </w:rPr>
        <w:lastRenderedPageBreak/>
        <w:t>negativo, che penalizza soprattutto le small cap, ma stiamo riscontrando un interesse crescente, anche da parte degli investitori internazionali, che lascia sperare in un'inversione di tendenza.</w:t>
      </w:r>
    </w:p>
    <w:p w14:paraId="4E985C8D" w14:textId="77777777" w:rsidR="00687651" w:rsidRPr="00687651" w:rsidRDefault="00687651" w:rsidP="006111A3">
      <w:pPr>
        <w:pStyle w:val="Bullets"/>
        <w:numPr>
          <w:ilvl w:val="0"/>
          <w:numId w:val="0"/>
        </w:numPr>
        <w:spacing w:after="0" w:line="240" w:lineRule="auto"/>
        <w:ind w:left="230" w:hanging="230"/>
        <w:rPr>
          <w:color w:val="auto"/>
          <w:spacing w:val="-4"/>
          <w:sz w:val="22"/>
          <w:szCs w:val="22"/>
        </w:rPr>
      </w:pPr>
    </w:p>
    <w:p w14:paraId="39D16206" w14:textId="6CAFEFCC" w:rsidR="00AE26CB" w:rsidRPr="00DA424B" w:rsidRDefault="006C0556" w:rsidP="00DA424B">
      <w:pPr>
        <w:spacing w:after="0" w:line="240" w:lineRule="auto"/>
        <w:jc w:val="both"/>
        <w:rPr>
          <w:b/>
          <w:bCs/>
          <w:color w:val="AEAAAA" w:themeColor="background2" w:themeShade="BF"/>
        </w:rPr>
      </w:pPr>
      <w:r>
        <w:rPr>
          <w:b/>
          <w:bCs/>
          <w:color w:val="AEAAAA" w:themeColor="background2" w:themeShade="BF"/>
        </w:rPr>
        <w:t xml:space="preserve">I </w:t>
      </w:r>
      <w:r w:rsidR="008327BA" w:rsidRPr="00DA424B">
        <w:rPr>
          <w:b/>
          <w:bCs/>
          <w:color w:val="AEAAAA" w:themeColor="background2" w:themeShade="BF"/>
        </w:rPr>
        <w:t xml:space="preserve">deflussi </w:t>
      </w:r>
      <w:r w:rsidR="00E57DCD" w:rsidRPr="00DA424B">
        <w:rPr>
          <w:b/>
          <w:bCs/>
          <w:color w:val="AEAAAA" w:themeColor="background2" w:themeShade="BF"/>
        </w:rPr>
        <w:t>dai PIR</w:t>
      </w:r>
      <w:r w:rsidR="00147ED7">
        <w:rPr>
          <w:b/>
          <w:bCs/>
          <w:color w:val="AEAAAA" w:themeColor="background2" w:themeShade="BF"/>
        </w:rPr>
        <w:t xml:space="preserve"> sono proseguiti anche </w:t>
      </w:r>
      <w:r w:rsidR="00B960C5">
        <w:rPr>
          <w:b/>
          <w:bCs/>
          <w:color w:val="AEAAAA" w:themeColor="background2" w:themeShade="BF"/>
        </w:rPr>
        <w:t>nel quarto trimestre 2023</w:t>
      </w:r>
    </w:p>
    <w:p w14:paraId="329D7CF1" w14:textId="6BECE1F4" w:rsidR="00EA3C05" w:rsidRDefault="005F5CA2" w:rsidP="00CC4A2A">
      <w:pPr>
        <w:pStyle w:val="Nessunaspaziatura"/>
        <w:jc w:val="both"/>
      </w:pPr>
      <w:r>
        <w:t xml:space="preserve">Nella sua revisione trimestrale del </w:t>
      </w:r>
      <w:r w:rsidR="008B74DF">
        <w:t>22</w:t>
      </w:r>
      <w:r w:rsidR="00E10778">
        <w:t xml:space="preserve"> </w:t>
      </w:r>
      <w:r w:rsidR="008B74DF">
        <w:t>novembre</w:t>
      </w:r>
      <w:r>
        <w:t xml:space="preserve"> 2023, </w:t>
      </w:r>
      <w:r w:rsidRPr="005F5CA2">
        <w:rPr>
          <w:b/>
          <w:bCs/>
        </w:rPr>
        <w:t xml:space="preserve">Assogestioni ha pubblicato i dati aggiornati sulla raccolta PIR del </w:t>
      </w:r>
      <w:r w:rsidR="00632B7A">
        <w:rPr>
          <w:b/>
          <w:bCs/>
        </w:rPr>
        <w:t>terzo</w:t>
      </w:r>
      <w:r w:rsidRPr="005F5CA2">
        <w:rPr>
          <w:b/>
          <w:bCs/>
        </w:rPr>
        <w:t xml:space="preserve"> trimestre ‘23. Nel corso del trimestre, i PIR ordinari hanno registrato deflussi per </w:t>
      </w:r>
      <w:r w:rsidR="00632B7A">
        <w:rPr>
          <w:b/>
          <w:bCs/>
        </w:rPr>
        <w:t>731</w:t>
      </w:r>
      <w:r w:rsidRPr="005F5CA2">
        <w:rPr>
          <w:b/>
          <w:bCs/>
        </w:rPr>
        <w:t xml:space="preserve"> milioni di euro, mentre i PIR alternativi hanno registrato afflussi per </w:t>
      </w:r>
      <w:r w:rsidR="00F85908">
        <w:rPr>
          <w:b/>
          <w:bCs/>
        </w:rPr>
        <w:t>7</w:t>
      </w:r>
      <w:r w:rsidR="00632B7A">
        <w:rPr>
          <w:b/>
          <w:bCs/>
        </w:rPr>
        <w:t>,5</w:t>
      </w:r>
      <w:r w:rsidRPr="005F5CA2">
        <w:rPr>
          <w:b/>
          <w:bCs/>
        </w:rPr>
        <w:t xml:space="preserve"> milioni di euro.</w:t>
      </w:r>
      <w:r>
        <w:t xml:space="preserve"> In termini di AuM, i PIR ordinari hanno gestito 1</w:t>
      </w:r>
      <w:r w:rsidR="008B5B59">
        <w:t>6</w:t>
      </w:r>
      <w:r>
        <w:t>,</w:t>
      </w:r>
      <w:r w:rsidR="008B5B59">
        <w:t>3</w:t>
      </w:r>
      <w:r>
        <w:t xml:space="preserve"> miliardi di euro, mentre 1,5 miliardi di euro sono stati investiti in fondi PIR alternativi. </w:t>
      </w:r>
    </w:p>
    <w:p w14:paraId="40B213A9" w14:textId="188DEE33" w:rsidR="007B7BA8" w:rsidRDefault="00EA3C05" w:rsidP="00EA3C05">
      <w:pPr>
        <w:pStyle w:val="Nessunaspaziatura"/>
        <w:jc w:val="both"/>
        <w:rPr>
          <w:b/>
          <w:bCs/>
        </w:rPr>
      </w:pPr>
      <w:r w:rsidRPr="00CC48CF">
        <w:rPr>
          <w:b/>
          <w:bCs/>
        </w:rPr>
        <w:t>Secondo l'Osservatorio PIR</w:t>
      </w:r>
      <w:r w:rsidR="004A3BA2">
        <w:rPr>
          <w:b/>
          <w:bCs/>
        </w:rPr>
        <w:t xml:space="preserve"> de</w:t>
      </w:r>
      <w:r w:rsidR="001C6885">
        <w:rPr>
          <w:b/>
          <w:bCs/>
        </w:rPr>
        <w:t>l</w:t>
      </w:r>
      <w:r w:rsidR="004A3BA2">
        <w:rPr>
          <w:b/>
          <w:bCs/>
        </w:rPr>
        <w:t xml:space="preserve"> Sole 24 Ore</w:t>
      </w:r>
      <w:r w:rsidRPr="00CC48CF">
        <w:rPr>
          <w:b/>
          <w:bCs/>
        </w:rPr>
        <w:t xml:space="preserve">, i </w:t>
      </w:r>
      <w:r w:rsidR="00CC4A2A">
        <w:rPr>
          <w:b/>
          <w:bCs/>
        </w:rPr>
        <w:t xml:space="preserve">dati sui </w:t>
      </w:r>
      <w:r w:rsidRPr="00CC48CF">
        <w:rPr>
          <w:b/>
          <w:bCs/>
        </w:rPr>
        <w:t>deflussi</w:t>
      </w:r>
      <w:r w:rsidR="00CC4A2A">
        <w:rPr>
          <w:b/>
          <w:bCs/>
        </w:rPr>
        <w:t xml:space="preserve"> in </w:t>
      </w:r>
      <w:r w:rsidR="00FF7A64">
        <w:rPr>
          <w:b/>
          <w:bCs/>
        </w:rPr>
        <w:t>ottobre</w:t>
      </w:r>
      <w:r w:rsidR="000B166F">
        <w:rPr>
          <w:b/>
          <w:bCs/>
        </w:rPr>
        <w:t xml:space="preserve">, </w:t>
      </w:r>
      <w:r w:rsidR="00656818">
        <w:rPr>
          <w:b/>
          <w:bCs/>
        </w:rPr>
        <w:t xml:space="preserve">novembre </w:t>
      </w:r>
      <w:r w:rsidR="000B166F">
        <w:rPr>
          <w:b/>
          <w:bCs/>
        </w:rPr>
        <w:t xml:space="preserve">e dicembre </w:t>
      </w:r>
      <w:r w:rsidR="00CC4A2A">
        <w:rPr>
          <w:b/>
          <w:bCs/>
        </w:rPr>
        <w:t xml:space="preserve">sono rimasti poco incoraggianti, </w:t>
      </w:r>
      <w:r w:rsidR="00656818">
        <w:rPr>
          <w:b/>
          <w:bCs/>
        </w:rPr>
        <w:t xml:space="preserve">rispettivamente </w:t>
      </w:r>
      <w:r w:rsidR="00CC4A2A">
        <w:rPr>
          <w:b/>
          <w:bCs/>
        </w:rPr>
        <w:t xml:space="preserve">pari a </w:t>
      </w:r>
      <w:r w:rsidR="00F8278A">
        <w:rPr>
          <w:b/>
          <w:bCs/>
        </w:rPr>
        <w:t>-</w:t>
      </w:r>
      <w:r w:rsidR="00BB4AE8">
        <w:rPr>
          <w:b/>
          <w:bCs/>
        </w:rPr>
        <w:t>172,1</w:t>
      </w:r>
      <w:r w:rsidR="00CC4A2A">
        <w:rPr>
          <w:b/>
          <w:bCs/>
        </w:rPr>
        <w:t xml:space="preserve"> milioni di euro</w:t>
      </w:r>
      <w:r w:rsidR="006137DF">
        <w:rPr>
          <w:b/>
          <w:bCs/>
        </w:rPr>
        <w:t>,</w:t>
      </w:r>
      <w:r w:rsidR="00656818">
        <w:rPr>
          <w:b/>
          <w:bCs/>
        </w:rPr>
        <w:t xml:space="preserve"> -153,8 milioni di euro</w:t>
      </w:r>
      <w:r w:rsidR="006137DF">
        <w:rPr>
          <w:b/>
          <w:bCs/>
        </w:rPr>
        <w:t xml:space="preserve"> e -112 milioni di euro</w:t>
      </w:r>
      <w:r w:rsidR="007B7BA8">
        <w:rPr>
          <w:b/>
          <w:bCs/>
        </w:rPr>
        <w:t xml:space="preserve">. L’ammontare totale dei riscatti per il 2023 (combinando i dati ufficiali di Assogestioni per i primi nove mesi dell’anno e le indicazioni del Sole 24 Ore per gli ultimi quattro) tocca i 2,59 miliardi di euro. </w:t>
      </w:r>
    </w:p>
    <w:p w14:paraId="6F4347AB" w14:textId="778F28A7" w:rsidR="00D20BDF" w:rsidRPr="00D20BDF" w:rsidRDefault="00D20BDF" w:rsidP="00EA3C05">
      <w:pPr>
        <w:pStyle w:val="Nessunaspaziatura"/>
        <w:jc w:val="both"/>
      </w:pPr>
      <w:r w:rsidRPr="00D20BDF">
        <w:t xml:space="preserve">La tendenza dovrebbe stabilizzarsi nel </w:t>
      </w:r>
      <w:r>
        <w:t xml:space="preserve">corso del </w:t>
      </w:r>
      <w:r w:rsidRPr="00D20BDF">
        <w:t>2024, ma la visibilità su una potenziale ripresa rimane per il momento molto bassa.</w:t>
      </w:r>
    </w:p>
    <w:p w14:paraId="706C2084" w14:textId="77777777" w:rsidR="005F5CA2" w:rsidRDefault="005F5CA2" w:rsidP="005E4E63">
      <w:pPr>
        <w:pStyle w:val="Nessunaspaziatura"/>
        <w:jc w:val="both"/>
      </w:pPr>
    </w:p>
    <w:p w14:paraId="31110E3B" w14:textId="3D0AFA1B" w:rsidR="00A00803" w:rsidRPr="00567214" w:rsidRDefault="00A00803" w:rsidP="00A00803">
      <w:pPr>
        <w:pStyle w:val="Nessunaspaziatura"/>
        <w:jc w:val="both"/>
      </w:pPr>
      <w:r w:rsidRPr="00567214">
        <w:t>Ricordiamo che le caratteristiche del PIR 3.0 sono le seguenti: almeno il 70% del fondo deve essere investito in titoli emessi da società quotate italiane o comunitarie con stabile organizzazione in Italia; di questo 70%, il 25% (cioè il 17,5% del totale del fondo) deve essere investito in titoli non presenti nell'indice principale (FTSE MIB nel caso di titoli quotati in Italia). La principale novità del nuovo regolamento è un investimento minimo obbligatorio del 5% del 70% (o del 3,5% del fondo totale) in small cap non quotate né nel FTSE</w:t>
      </w:r>
      <w:r>
        <w:t xml:space="preserve"> </w:t>
      </w:r>
      <w:r w:rsidRPr="00567214">
        <w:t>MIB né nel FTSE MID. Questa misura dovrebbe convogliare i flussi verso un universo di piccole imprese che si prevede possa</w:t>
      </w:r>
      <w:r>
        <w:t>no</w:t>
      </w:r>
      <w:r w:rsidRPr="00567214">
        <w:t xml:space="preserve"> trarre particolare beneficio dal rinnovato interesse degli investitori. La nuova normativa consente inoltre ai fondi pensione italiani di investire fino al 10% del loro patrimonio in fondi PIR. Il beneficio fiscale (invariato) riguarda ancora l'eliminazione dell'imposta sulle plusvalenze </w:t>
      </w:r>
      <w:r>
        <w:t>a condizione</w:t>
      </w:r>
      <w:r w:rsidRPr="00567214">
        <w:t xml:space="preserve"> che l'investimento </w:t>
      </w:r>
      <w:r>
        <w:t>sia</w:t>
      </w:r>
      <w:r w:rsidRPr="00567214">
        <w:t xml:space="preserve"> stato mantenuto nel fondo per almeno 5 anni.</w:t>
      </w:r>
    </w:p>
    <w:p w14:paraId="38EA6642" w14:textId="605F4F35" w:rsidR="00A00803" w:rsidRDefault="00A00803" w:rsidP="00A00803">
      <w:pPr>
        <w:pStyle w:val="Nessunaspaziatura"/>
        <w:jc w:val="both"/>
      </w:pPr>
      <w:r>
        <w:t>Il</w:t>
      </w:r>
      <w:r w:rsidRPr="00567214">
        <w:t xml:space="preserve"> PIR alternativo</w:t>
      </w:r>
      <w:r w:rsidR="00F6694E">
        <w:t xml:space="preserve"> </w:t>
      </w:r>
      <w:r w:rsidRPr="00567214">
        <w:t xml:space="preserve">è un </w:t>
      </w:r>
      <w:r>
        <w:t xml:space="preserve">wrapper </w:t>
      </w:r>
      <w:r w:rsidRPr="00567214">
        <w:t xml:space="preserve">con benefici fiscali simili a quelli del PIR (esenzione fiscale delle plusvalenze per gli investimenti detenuti per almeno 5 anni) e a sua volta è in grado di investire in ELTIF, fondi di private equity o fondi di private debt. A causa degli investimenti in attività illiquide (più vicine all'economia reale ma più rischiose), gli investitori </w:t>
      </w:r>
      <w:r>
        <w:t>affluent</w:t>
      </w:r>
      <w:r w:rsidRPr="00567214">
        <w:t xml:space="preserve"> sono i clienti target. L'importo massimo investibile all'anno è di 300.000 euro per persona (contro i </w:t>
      </w:r>
      <w:r w:rsidR="00EA3C05">
        <w:t>4</w:t>
      </w:r>
      <w:r w:rsidRPr="00567214">
        <w:t>0.000 euro dei PIR) fino a un massimo cumulativo di 1,5 milioni di euro per persona. Inoltre, il limite di concentrazione (cioè il massimo investimento cumulativo in un singolo titolo) è stato fissato al 20% (il 10% è il limite per i normali fondi PIR).</w:t>
      </w:r>
    </w:p>
    <w:p w14:paraId="2A535CE9" w14:textId="46FCB148" w:rsidR="00A00803" w:rsidRPr="00567214" w:rsidRDefault="00A00803" w:rsidP="00A00803">
      <w:pPr>
        <w:pStyle w:val="Nessunaspaziatura"/>
        <w:jc w:val="both"/>
      </w:pPr>
      <w:r w:rsidRPr="00567214">
        <w:t xml:space="preserve">Questi strumenti alternativi sarebbero infatti adatti a superare la volatilità del mercato, dato il loro impegno a lungo termine, e sono complementari ai fondi PIR in senso più ampio (sono pensati per investitori semi-professionali piuttosto che retail). </w:t>
      </w:r>
    </w:p>
    <w:p w14:paraId="4B8471D9" w14:textId="16CFBD30" w:rsidR="00A00803" w:rsidRDefault="00A00803" w:rsidP="003F221A">
      <w:pPr>
        <w:pStyle w:val="Nessunaspaziatura"/>
        <w:jc w:val="both"/>
      </w:pPr>
    </w:p>
    <w:p w14:paraId="46C5D8FD" w14:textId="77777777" w:rsidR="007920F2" w:rsidRPr="00E57E9D" w:rsidRDefault="007920F2" w:rsidP="00E57E9D">
      <w:pPr>
        <w:pStyle w:val="Nessunaspaziatura"/>
        <w:jc w:val="both"/>
      </w:pPr>
    </w:p>
    <w:p w14:paraId="75591D5D" w14:textId="77777777" w:rsidR="00DE2E14" w:rsidRDefault="00DE2E14" w:rsidP="00DE2E14">
      <w:pPr>
        <w:pStyle w:val="Nessunaspaziatura"/>
        <w:jc w:val="both"/>
      </w:pPr>
    </w:p>
    <w:p w14:paraId="76D7FD3F" w14:textId="77777777" w:rsidR="00E5199B" w:rsidRPr="002D3FC3" w:rsidRDefault="00E5199B" w:rsidP="00E5199B">
      <w:pPr>
        <w:spacing w:after="0" w:line="240" w:lineRule="auto"/>
        <w:ind w:right="-1"/>
        <w:jc w:val="both"/>
        <w:rPr>
          <w:rFonts w:cstheme="minorHAnsi"/>
          <w:b/>
          <w:bCs/>
          <w:i/>
          <w:iCs/>
          <w:spacing w:val="-2"/>
          <w:sz w:val="20"/>
          <w:szCs w:val="20"/>
          <w:u w:val="single"/>
        </w:rPr>
      </w:pPr>
      <w:r w:rsidRPr="002D3FC3">
        <w:rPr>
          <w:rFonts w:cstheme="minorHAnsi"/>
          <w:b/>
          <w:bCs/>
          <w:i/>
          <w:iCs/>
          <w:spacing w:val="-2"/>
          <w:sz w:val="20"/>
          <w:szCs w:val="20"/>
          <w:u w:val="single"/>
        </w:rPr>
        <w:t xml:space="preserve">INTERMONTE </w:t>
      </w:r>
    </w:p>
    <w:p w14:paraId="571B6062" w14:textId="1C108F9C" w:rsidR="00E5199B" w:rsidRPr="002825A4" w:rsidRDefault="00E5199B" w:rsidP="00E5199B">
      <w:pPr>
        <w:spacing w:before="120"/>
        <w:jc w:val="both"/>
        <w:rPr>
          <w:rFonts w:eastAsia="Calibri" w:cstheme="minorHAnsi"/>
          <w:color w:val="000000"/>
          <w:sz w:val="18"/>
        </w:rPr>
      </w:pPr>
      <w:r w:rsidRPr="002825A4">
        <w:rPr>
          <w:rFonts w:cstheme="minorHAnsi"/>
          <w:color w:val="000000"/>
          <w:sz w:val="18"/>
          <w:szCs w:val="18"/>
        </w:rPr>
        <w:t xml:space="preserve">Intermonte è una Investment bank indipendente leader in Italia e punto di riferimento per gli investitori istituzionali italiani e internazionali nel segmento delle mid &amp; small caps. Quotata sul mercato Euronext </w:t>
      </w:r>
      <w:r w:rsidRPr="00291635">
        <w:rPr>
          <w:rFonts w:cstheme="minorHAnsi"/>
          <w:color w:val="000000"/>
          <w:sz w:val="18"/>
          <w:szCs w:val="18"/>
        </w:rPr>
        <w:t>Growth</w:t>
      </w:r>
      <w:r w:rsidRPr="002825A4">
        <w:rPr>
          <w:rFonts w:cstheme="minorHAnsi"/>
          <w:color w:val="000000"/>
          <w:sz w:val="18"/>
          <w:szCs w:val="18"/>
        </w:rPr>
        <w:t xml:space="preserve"> Milan di Borsa Italiana, presenta un modello di business diversificato su quattro linee di attività, “Investment Banking”, “Sales &amp; Trading”, Global Markets” e “Digital </w:t>
      </w:r>
      <w:r w:rsidRPr="00291635">
        <w:rPr>
          <w:rFonts w:cstheme="minorHAnsi"/>
          <w:color w:val="000000"/>
          <w:sz w:val="18"/>
          <w:szCs w:val="18"/>
        </w:rPr>
        <w:t>Division</w:t>
      </w:r>
      <w:r w:rsidRPr="002825A4">
        <w:rPr>
          <w:rFonts w:cstheme="minorHAnsi"/>
          <w:color w:val="000000"/>
          <w:sz w:val="18"/>
          <w:szCs w:val="18"/>
        </w:rPr>
        <w:t xml:space="preserve"> &amp; Advisory”. </w:t>
      </w:r>
      <w:r w:rsidRPr="002825A4">
        <w:rPr>
          <w:rFonts w:cstheme="minorHAnsi"/>
          <w:color w:val="000000"/>
          <w:sz w:val="18"/>
          <w:szCs w:val="18"/>
          <w:u w:val="single"/>
        </w:rPr>
        <w:t>L’Investment</w:t>
      </w:r>
      <w:r w:rsidRPr="002825A4">
        <w:rPr>
          <w:rFonts w:cstheme="minorHAnsi"/>
          <w:color w:val="000000"/>
          <w:sz w:val="18"/>
          <w:u w:val="single"/>
        </w:rPr>
        <w:t xml:space="preserve"> Banking</w:t>
      </w:r>
      <w:r w:rsidRPr="002825A4">
        <w:rPr>
          <w:rFonts w:cstheme="minorHAnsi"/>
          <w:color w:val="000000"/>
          <w:sz w:val="18"/>
          <w:szCs w:val="18"/>
        </w:rPr>
        <w:t xml:space="preserve"> offre servizi rivolti a imprese quotate e non quotate in operazioni straordinarie, incluse operazioni di Equity Capital Markets, M&amp;A e Debt Capital Markets. Le divisioni </w:t>
      </w:r>
      <w:r w:rsidRPr="002825A4">
        <w:rPr>
          <w:rFonts w:cstheme="minorHAnsi"/>
          <w:color w:val="000000"/>
          <w:sz w:val="18"/>
          <w:u w:val="single"/>
        </w:rPr>
        <w:t>Sales &amp; Trading e Global Markets</w:t>
      </w:r>
      <w:r w:rsidRPr="002825A4">
        <w:rPr>
          <w:rFonts w:cstheme="minorHAnsi"/>
          <w:color w:val="000000"/>
          <w:sz w:val="18"/>
          <w:szCs w:val="18"/>
        </w:rPr>
        <w:t xml:space="preserve"> supportano le decisioni di oltre 650 investitori istituzionali italiani ed esteri grazie a una ricerca di alto standing di più di 50 operatori professionali specializzati nelle varie asset class, azioni, obbligazioni, derivati, ETF, valute e commodities. L’ufficio studi figura costantemente ai vertici delle classifiche internazionali per qualità della ricerca e offre la più ampia copertura del mercato azionario italiano sulla base di un’elevata specializzazione settoriale. </w:t>
      </w:r>
      <w:r w:rsidRPr="002825A4">
        <w:rPr>
          <w:rFonts w:cstheme="minorHAnsi"/>
          <w:color w:val="000000"/>
          <w:sz w:val="18"/>
          <w:szCs w:val="18"/>
          <w:u w:val="single"/>
        </w:rPr>
        <w:t xml:space="preserve">La divisione “Digital </w:t>
      </w:r>
      <w:r w:rsidRPr="00291635">
        <w:rPr>
          <w:rFonts w:cstheme="minorHAnsi"/>
          <w:color w:val="000000"/>
          <w:sz w:val="18"/>
          <w:szCs w:val="18"/>
          <w:u w:val="single"/>
        </w:rPr>
        <w:t>Division</w:t>
      </w:r>
      <w:r w:rsidRPr="002825A4">
        <w:rPr>
          <w:rFonts w:cstheme="minorHAnsi"/>
          <w:color w:val="000000"/>
          <w:sz w:val="18"/>
          <w:szCs w:val="18"/>
          <w:u w:val="single"/>
        </w:rPr>
        <w:t xml:space="preserve"> &amp; Advisory”</w:t>
      </w:r>
      <w:r w:rsidRPr="002825A4">
        <w:rPr>
          <w:rFonts w:cstheme="minorHAnsi"/>
          <w:color w:val="000000"/>
          <w:sz w:val="18"/>
          <w:szCs w:val="18"/>
        </w:rPr>
        <w:t xml:space="preserve"> è attiva nel risparmio gestito e consulenza agli investimenti. Websim è specializzata in produzione di contenuti finanziari destinati a investitori retail. T.I.E. - The Intermonte Eye - è l’area riservata a consulenti finanziari e private banker</w:t>
      </w:r>
      <w:r w:rsidRPr="002825A4">
        <w:rPr>
          <w:rFonts w:eastAsia="Calibri" w:cstheme="minorHAnsi"/>
          <w:color w:val="000000"/>
          <w:sz w:val="18"/>
          <w:szCs w:val="18"/>
        </w:rPr>
        <w:t>.</w:t>
      </w:r>
    </w:p>
    <w:p w14:paraId="504D6B3D" w14:textId="77777777" w:rsidR="00E5199B" w:rsidRPr="002D3FC3" w:rsidRDefault="00E5199B" w:rsidP="00E5199B">
      <w:pPr>
        <w:pStyle w:val="Paragrafoelenco"/>
        <w:ind w:left="0"/>
        <w:jc w:val="both"/>
        <w:rPr>
          <w:rFonts w:cstheme="minorHAnsi"/>
          <w:b/>
          <w:i/>
          <w:sz w:val="20"/>
          <w:szCs w:val="20"/>
        </w:rPr>
      </w:pPr>
      <w:r w:rsidRPr="002D3FC3">
        <w:rPr>
          <w:rFonts w:cstheme="minorHAnsi"/>
          <w:b/>
          <w:i/>
          <w:sz w:val="20"/>
          <w:szCs w:val="20"/>
        </w:rPr>
        <w:t xml:space="preserve">Contatti per la stampa: </w:t>
      </w:r>
    </w:p>
    <w:p w14:paraId="4517E29E" w14:textId="77777777" w:rsidR="00E5199B" w:rsidRPr="002D3FC3" w:rsidRDefault="00E5199B" w:rsidP="00E5199B">
      <w:pPr>
        <w:pStyle w:val="Paragrafoelenco"/>
        <w:ind w:left="0"/>
        <w:jc w:val="both"/>
        <w:rPr>
          <w:rFonts w:cstheme="minorHAnsi"/>
          <w:b/>
          <w:i/>
          <w:sz w:val="20"/>
          <w:szCs w:val="20"/>
        </w:rPr>
      </w:pPr>
      <w:r w:rsidRPr="002D3FC3">
        <w:rPr>
          <w:rFonts w:cstheme="minorHAnsi"/>
          <w:b/>
          <w:i/>
          <w:sz w:val="20"/>
          <w:szCs w:val="20"/>
        </w:rPr>
        <w:t>BC Communication</w:t>
      </w:r>
    </w:p>
    <w:p w14:paraId="405DB0F9" w14:textId="77777777" w:rsidR="00E5199B" w:rsidRPr="002D3FC3" w:rsidRDefault="00E5199B" w:rsidP="00E5199B">
      <w:pPr>
        <w:pStyle w:val="Paragrafoelenco"/>
        <w:ind w:left="0"/>
        <w:jc w:val="both"/>
        <w:rPr>
          <w:rFonts w:cstheme="minorHAnsi"/>
          <w:b/>
          <w:i/>
          <w:sz w:val="20"/>
          <w:szCs w:val="20"/>
        </w:rPr>
      </w:pPr>
      <w:r w:rsidRPr="002D3FC3">
        <w:rPr>
          <w:rFonts w:cstheme="minorHAnsi"/>
          <w:b/>
          <w:i/>
          <w:sz w:val="20"/>
          <w:szCs w:val="20"/>
        </w:rPr>
        <w:lastRenderedPageBreak/>
        <w:t xml:space="preserve">Beatrice Cagnoni </w:t>
      </w:r>
      <w:r w:rsidRPr="002D3FC3">
        <w:rPr>
          <w:rFonts w:cstheme="minorHAnsi"/>
          <w:bCs/>
          <w:i/>
          <w:sz w:val="20"/>
          <w:szCs w:val="20"/>
        </w:rPr>
        <w:t xml:space="preserve">– </w:t>
      </w:r>
      <w:hyperlink r:id="rId8" w:history="1">
        <w:r w:rsidRPr="002D3FC3">
          <w:rPr>
            <w:rStyle w:val="Collegamentoipertestuale"/>
            <w:rFonts w:cstheme="minorHAnsi"/>
            <w:i/>
            <w:sz w:val="20"/>
            <w:szCs w:val="20"/>
          </w:rPr>
          <w:t>beatrice.cagnoni@bc-communication.it</w:t>
        </w:r>
      </w:hyperlink>
      <w:r w:rsidRPr="002D3FC3">
        <w:rPr>
          <w:rStyle w:val="Collegamentoipertestuale"/>
          <w:rFonts w:cstheme="minorHAnsi"/>
          <w:i/>
          <w:sz w:val="20"/>
          <w:szCs w:val="20"/>
        </w:rPr>
        <w:t xml:space="preserve"> </w:t>
      </w:r>
      <w:r w:rsidRPr="002D3FC3">
        <w:rPr>
          <w:rFonts w:cstheme="minorHAnsi"/>
          <w:bCs/>
          <w:i/>
          <w:sz w:val="20"/>
          <w:szCs w:val="20"/>
        </w:rPr>
        <w:t xml:space="preserve">– </w:t>
      </w:r>
      <w:r w:rsidRPr="002D3FC3">
        <w:rPr>
          <w:rFonts w:cstheme="minorHAnsi"/>
          <w:b/>
          <w:i/>
          <w:sz w:val="20"/>
          <w:szCs w:val="20"/>
        </w:rPr>
        <w:t>+39 335 5635111</w:t>
      </w:r>
    </w:p>
    <w:p w14:paraId="565767DE" w14:textId="0B11885D" w:rsidR="001D1322" w:rsidRPr="00C57CBE" w:rsidRDefault="00FD2511" w:rsidP="00E5199B">
      <w:pPr>
        <w:pStyle w:val="Paragrafoelenco"/>
        <w:ind w:left="0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Giulia Franzoni</w:t>
      </w:r>
      <w:r w:rsidR="00E5199B" w:rsidRPr="00C57CBE">
        <w:rPr>
          <w:rFonts w:cstheme="minorHAnsi"/>
          <w:b/>
          <w:i/>
          <w:sz w:val="20"/>
          <w:szCs w:val="20"/>
        </w:rPr>
        <w:t xml:space="preserve"> </w:t>
      </w:r>
      <w:r w:rsidR="00E5199B" w:rsidRPr="00C57CBE">
        <w:rPr>
          <w:rFonts w:cstheme="minorHAnsi"/>
          <w:bCs/>
          <w:i/>
          <w:sz w:val="20"/>
          <w:szCs w:val="20"/>
        </w:rPr>
        <w:t>–</w:t>
      </w:r>
      <w:r w:rsidR="00E5199B" w:rsidRPr="00C57CBE">
        <w:rPr>
          <w:rStyle w:val="Collegamentoipertestuale"/>
          <w:rFonts w:cstheme="minorHAnsi"/>
          <w:i/>
          <w:sz w:val="20"/>
          <w:szCs w:val="20"/>
        </w:rPr>
        <w:t xml:space="preserve"> </w:t>
      </w:r>
      <w:r>
        <w:rPr>
          <w:rStyle w:val="Collegamentoipertestuale"/>
          <w:rFonts w:cstheme="minorHAnsi"/>
          <w:i/>
          <w:sz w:val="20"/>
          <w:szCs w:val="20"/>
        </w:rPr>
        <w:t>giulia.franzoni</w:t>
      </w:r>
      <w:r w:rsidR="00E5199B" w:rsidRPr="00C57CBE">
        <w:rPr>
          <w:rStyle w:val="Collegamentoipertestuale"/>
          <w:rFonts w:cstheme="minorHAnsi"/>
          <w:i/>
          <w:sz w:val="20"/>
          <w:szCs w:val="20"/>
        </w:rPr>
        <w:t>@bc-communication.it</w:t>
      </w:r>
      <w:r w:rsidR="00E5199B" w:rsidRPr="00C57CBE">
        <w:rPr>
          <w:rFonts w:cstheme="minorHAnsi"/>
          <w:b/>
          <w:i/>
          <w:sz w:val="20"/>
          <w:szCs w:val="20"/>
        </w:rPr>
        <w:t xml:space="preserve"> </w:t>
      </w:r>
      <w:r w:rsidR="00E5199B" w:rsidRPr="00C57CBE">
        <w:rPr>
          <w:rFonts w:cstheme="minorHAnsi"/>
          <w:bCs/>
          <w:i/>
          <w:sz w:val="20"/>
          <w:szCs w:val="20"/>
        </w:rPr>
        <w:t>–</w:t>
      </w:r>
      <w:r w:rsidR="00E5199B" w:rsidRPr="00C57CBE">
        <w:rPr>
          <w:rFonts w:cstheme="minorHAnsi"/>
          <w:b/>
          <w:i/>
          <w:sz w:val="20"/>
          <w:szCs w:val="20"/>
        </w:rPr>
        <w:t xml:space="preserve"> +39 </w:t>
      </w:r>
      <w:r>
        <w:rPr>
          <w:rFonts w:cstheme="minorHAnsi"/>
          <w:b/>
          <w:i/>
          <w:sz w:val="20"/>
          <w:szCs w:val="20"/>
        </w:rPr>
        <w:t>334 3337 756</w:t>
      </w:r>
    </w:p>
    <w:p w14:paraId="599E9A43" w14:textId="069AA1BA" w:rsidR="007920F2" w:rsidRPr="00C57CBE" w:rsidRDefault="007920F2" w:rsidP="00E5199B">
      <w:pPr>
        <w:pStyle w:val="Paragrafoelenco"/>
        <w:ind w:left="0"/>
        <w:jc w:val="both"/>
        <w:rPr>
          <w:rFonts w:cstheme="minorHAnsi"/>
          <w:b/>
          <w:i/>
          <w:sz w:val="20"/>
          <w:szCs w:val="20"/>
        </w:rPr>
      </w:pPr>
    </w:p>
    <w:p w14:paraId="6A551DD1" w14:textId="7C7E7655" w:rsidR="007920F2" w:rsidRPr="00C57CBE" w:rsidRDefault="007920F2" w:rsidP="007920F2">
      <w:pPr>
        <w:pStyle w:val="Paragrafoelenco"/>
        <w:ind w:left="0"/>
        <w:jc w:val="both"/>
        <w:rPr>
          <w:rFonts w:cstheme="minorHAnsi"/>
          <w:b/>
          <w:i/>
          <w:sz w:val="20"/>
          <w:szCs w:val="20"/>
        </w:rPr>
      </w:pPr>
    </w:p>
    <w:sectPr w:rsidR="007920F2" w:rsidRPr="00C57CB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C2FD" w14:textId="77777777" w:rsidR="00637483" w:rsidRDefault="00637483">
      <w:pPr>
        <w:spacing w:after="0" w:line="240" w:lineRule="auto"/>
      </w:pPr>
      <w:r>
        <w:separator/>
      </w:r>
    </w:p>
  </w:endnote>
  <w:endnote w:type="continuationSeparator" w:id="0">
    <w:p w14:paraId="3C27F57D" w14:textId="77777777" w:rsidR="00637483" w:rsidRDefault="00637483">
      <w:pPr>
        <w:spacing w:after="0" w:line="240" w:lineRule="auto"/>
      </w:pPr>
      <w:r>
        <w:continuationSeparator/>
      </w:r>
    </w:p>
  </w:endnote>
  <w:endnote w:type="continuationNotice" w:id="1">
    <w:p w14:paraId="2B278FD9" w14:textId="77777777" w:rsidR="00637483" w:rsidRDefault="006374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377271"/>
      <w:docPartObj>
        <w:docPartGallery w:val="Page Numbers (Bottom of Page)"/>
        <w:docPartUnique/>
      </w:docPartObj>
    </w:sdtPr>
    <w:sdtContent>
      <w:p w14:paraId="1F0B891D" w14:textId="77777777" w:rsidR="00631C43" w:rsidRDefault="001B3CF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7EE76" w14:textId="77777777" w:rsidR="00631C43" w:rsidRDefault="00631C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0DB8" w14:textId="77777777" w:rsidR="00637483" w:rsidRDefault="00637483">
      <w:pPr>
        <w:spacing w:after="0" w:line="240" w:lineRule="auto"/>
      </w:pPr>
      <w:r>
        <w:separator/>
      </w:r>
    </w:p>
  </w:footnote>
  <w:footnote w:type="continuationSeparator" w:id="0">
    <w:p w14:paraId="48E520F9" w14:textId="77777777" w:rsidR="00637483" w:rsidRDefault="00637483">
      <w:pPr>
        <w:spacing w:after="0" w:line="240" w:lineRule="auto"/>
      </w:pPr>
      <w:r>
        <w:continuationSeparator/>
      </w:r>
    </w:p>
  </w:footnote>
  <w:footnote w:type="continuationNotice" w:id="1">
    <w:p w14:paraId="35F3762D" w14:textId="77777777" w:rsidR="00637483" w:rsidRDefault="006374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E748" w14:textId="77777777" w:rsidR="00022319" w:rsidRDefault="00022319" w:rsidP="00B85C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5D3C"/>
    <w:multiLevelType w:val="hybridMultilevel"/>
    <w:tmpl w:val="AE5C6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364D5"/>
    <w:multiLevelType w:val="hybridMultilevel"/>
    <w:tmpl w:val="3538F5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1F6D"/>
    <w:multiLevelType w:val="hybridMultilevel"/>
    <w:tmpl w:val="9BC455F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251DB"/>
    <w:multiLevelType w:val="hybridMultilevel"/>
    <w:tmpl w:val="BEBE1DE8"/>
    <w:lvl w:ilvl="0" w:tplc="C884F36A">
      <w:start w:val="1"/>
      <w:numFmt w:val="bullet"/>
      <w:pStyle w:val="Bullets"/>
      <w:lvlText w:val="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999999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AECC2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671D9"/>
    <w:multiLevelType w:val="hybridMultilevel"/>
    <w:tmpl w:val="955C9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025B"/>
    <w:multiLevelType w:val="hybridMultilevel"/>
    <w:tmpl w:val="677A21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261EEF"/>
    <w:multiLevelType w:val="hybridMultilevel"/>
    <w:tmpl w:val="E3608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E68E5"/>
    <w:multiLevelType w:val="hybridMultilevel"/>
    <w:tmpl w:val="182E1A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15A60"/>
    <w:multiLevelType w:val="hybridMultilevel"/>
    <w:tmpl w:val="985C6A4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AE5D64"/>
    <w:multiLevelType w:val="hybridMultilevel"/>
    <w:tmpl w:val="7870B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C5A77"/>
    <w:multiLevelType w:val="hybridMultilevel"/>
    <w:tmpl w:val="7D50FE3E"/>
    <w:lvl w:ilvl="0" w:tplc="148CB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05986"/>
    <w:multiLevelType w:val="hybridMultilevel"/>
    <w:tmpl w:val="8A101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9284E"/>
    <w:multiLevelType w:val="hybridMultilevel"/>
    <w:tmpl w:val="1290970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8C7476"/>
    <w:multiLevelType w:val="hybridMultilevel"/>
    <w:tmpl w:val="91FA8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230B3"/>
    <w:multiLevelType w:val="hybridMultilevel"/>
    <w:tmpl w:val="4A702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065B4"/>
    <w:multiLevelType w:val="hybridMultilevel"/>
    <w:tmpl w:val="EA205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F2F66"/>
    <w:multiLevelType w:val="hybridMultilevel"/>
    <w:tmpl w:val="9EA6B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23C0E"/>
    <w:multiLevelType w:val="hybridMultilevel"/>
    <w:tmpl w:val="B1F460EC"/>
    <w:lvl w:ilvl="0" w:tplc="E0968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154B6"/>
    <w:multiLevelType w:val="hybridMultilevel"/>
    <w:tmpl w:val="4456E5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2536A"/>
    <w:multiLevelType w:val="hybridMultilevel"/>
    <w:tmpl w:val="C2805C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C40B9"/>
    <w:multiLevelType w:val="hybridMultilevel"/>
    <w:tmpl w:val="275A2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A04E2"/>
    <w:multiLevelType w:val="hybridMultilevel"/>
    <w:tmpl w:val="EA64A498"/>
    <w:lvl w:ilvl="0" w:tplc="E0968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E5692"/>
    <w:multiLevelType w:val="hybridMultilevel"/>
    <w:tmpl w:val="4F68C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138E5"/>
    <w:multiLevelType w:val="hybridMultilevel"/>
    <w:tmpl w:val="FAEE2E72"/>
    <w:lvl w:ilvl="0" w:tplc="E0968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E6E62"/>
    <w:multiLevelType w:val="hybridMultilevel"/>
    <w:tmpl w:val="0AD628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76390">
    <w:abstractNumId w:val="10"/>
  </w:num>
  <w:num w:numId="2" w16cid:durableId="1137602706">
    <w:abstractNumId w:val="1"/>
  </w:num>
  <w:num w:numId="3" w16cid:durableId="1481918223">
    <w:abstractNumId w:val="19"/>
  </w:num>
  <w:num w:numId="4" w16cid:durableId="136192562">
    <w:abstractNumId w:val="18"/>
  </w:num>
  <w:num w:numId="5" w16cid:durableId="770200441">
    <w:abstractNumId w:val="24"/>
  </w:num>
  <w:num w:numId="6" w16cid:durableId="1030649971">
    <w:abstractNumId w:val="2"/>
  </w:num>
  <w:num w:numId="7" w16cid:durableId="429745017">
    <w:abstractNumId w:val="16"/>
  </w:num>
  <w:num w:numId="8" w16cid:durableId="827480080">
    <w:abstractNumId w:val="8"/>
  </w:num>
  <w:num w:numId="9" w16cid:durableId="244609539">
    <w:abstractNumId w:val="9"/>
  </w:num>
  <w:num w:numId="10" w16cid:durableId="786853252">
    <w:abstractNumId w:val="11"/>
  </w:num>
  <w:num w:numId="11" w16cid:durableId="2062945117">
    <w:abstractNumId w:val="3"/>
  </w:num>
  <w:num w:numId="12" w16cid:durableId="1823810398">
    <w:abstractNumId w:val="7"/>
  </w:num>
  <w:num w:numId="13" w16cid:durableId="1699693606">
    <w:abstractNumId w:val="6"/>
  </w:num>
  <w:num w:numId="14" w16cid:durableId="270865012">
    <w:abstractNumId w:val="0"/>
  </w:num>
  <w:num w:numId="15" w16cid:durableId="409739443">
    <w:abstractNumId w:val="20"/>
  </w:num>
  <w:num w:numId="16" w16cid:durableId="1364476437">
    <w:abstractNumId w:val="15"/>
  </w:num>
  <w:num w:numId="17" w16cid:durableId="1999381717">
    <w:abstractNumId w:val="13"/>
  </w:num>
  <w:num w:numId="18" w16cid:durableId="88740832">
    <w:abstractNumId w:val="5"/>
  </w:num>
  <w:num w:numId="19" w16cid:durableId="1729182094">
    <w:abstractNumId w:val="4"/>
  </w:num>
  <w:num w:numId="20" w16cid:durableId="893001785">
    <w:abstractNumId w:val="17"/>
  </w:num>
  <w:num w:numId="21" w16cid:durableId="241068393">
    <w:abstractNumId w:val="14"/>
  </w:num>
  <w:num w:numId="22" w16cid:durableId="1539321849">
    <w:abstractNumId w:val="22"/>
  </w:num>
  <w:num w:numId="23" w16cid:durableId="2031026506">
    <w:abstractNumId w:val="12"/>
  </w:num>
  <w:num w:numId="24" w16cid:durableId="65883614">
    <w:abstractNumId w:val="21"/>
  </w:num>
  <w:num w:numId="25" w16cid:durableId="14707116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E5199B"/>
    <w:rsid w:val="0000050E"/>
    <w:rsid w:val="00003618"/>
    <w:rsid w:val="00003CAA"/>
    <w:rsid w:val="00004957"/>
    <w:rsid w:val="0000512D"/>
    <w:rsid w:val="000064D9"/>
    <w:rsid w:val="000074F2"/>
    <w:rsid w:val="0001139E"/>
    <w:rsid w:val="00020176"/>
    <w:rsid w:val="00022319"/>
    <w:rsid w:val="00026CDB"/>
    <w:rsid w:val="00027F66"/>
    <w:rsid w:val="00030E15"/>
    <w:rsid w:val="00031E04"/>
    <w:rsid w:val="000328E9"/>
    <w:rsid w:val="00032DBD"/>
    <w:rsid w:val="00033626"/>
    <w:rsid w:val="00033F5F"/>
    <w:rsid w:val="00034C25"/>
    <w:rsid w:val="00037AD8"/>
    <w:rsid w:val="00047399"/>
    <w:rsid w:val="00050C72"/>
    <w:rsid w:val="00051441"/>
    <w:rsid w:val="0006475D"/>
    <w:rsid w:val="000649A8"/>
    <w:rsid w:val="0006620E"/>
    <w:rsid w:val="00071620"/>
    <w:rsid w:val="00072247"/>
    <w:rsid w:val="000747D5"/>
    <w:rsid w:val="00083EA3"/>
    <w:rsid w:val="00092E9C"/>
    <w:rsid w:val="000945E3"/>
    <w:rsid w:val="0009669D"/>
    <w:rsid w:val="00097692"/>
    <w:rsid w:val="000A2C35"/>
    <w:rsid w:val="000A3582"/>
    <w:rsid w:val="000A437C"/>
    <w:rsid w:val="000A5600"/>
    <w:rsid w:val="000A7197"/>
    <w:rsid w:val="000B166F"/>
    <w:rsid w:val="000B17A5"/>
    <w:rsid w:val="000B323E"/>
    <w:rsid w:val="000B3978"/>
    <w:rsid w:val="000B5449"/>
    <w:rsid w:val="000B67EE"/>
    <w:rsid w:val="000B704C"/>
    <w:rsid w:val="000C263E"/>
    <w:rsid w:val="000D3BFA"/>
    <w:rsid w:val="000D7E8E"/>
    <w:rsid w:val="000E3ED8"/>
    <w:rsid w:val="000E40D7"/>
    <w:rsid w:val="000F42FC"/>
    <w:rsid w:val="000F665B"/>
    <w:rsid w:val="000F77CF"/>
    <w:rsid w:val="00104A78"/>
    <w:rsid w:val="001127D7"/>
    <w:rsid w:val="00114690"/>
    <w:rsid w:val="001148AD"/>
    <w:rsid w:val="001177B2"/>
    <w:rsid w:val="00121393"/>
    <w:rsid w:val="00131BC2"/>
    <w:rsid w:val="00136592"/>
    <w:rsid w:val="00136803"/>
    <w:rsid w:val="00142F8A"/>
    <w:rsid w:val="001441DF"/>
    <w:rsid w:val="00147ED7"/>
    <w:rsid w:val="0015283B"/>
    <w:rsid w:val="0015402B"/>
    <w:rsid w:val="00155440"/>
    <w:rsid w:val="00157C55"/>
    <w:rsid w:val="00161051"/>
    <w:rsid w:val="00161720"/>
    <w:rsid w:val="0016319B"/>
    <w:rsid w:val="00165104"/>
    <w:rsid w:val="0016547C"/>
    <w:rsid w:val="00170C74"/>
    <w:rsid w:val="0017227D"/>
    <w:rsid w:val="00172595"/>
    <w:rsid w:val="00174887"/>
    <w:rsid w:val="00181160"/>
    <w:rsid w:val="00184FB7"/>
    <w:rsid w:val="001933F8"/>
    <w:rsid w:val="00193B92"/>
    <w:rsid w:val="001971C9"/>
    <w:rsid w:val="001A1722"/>
    <w:rsid w:val="001A5662"/>
    <w:rsid w:val="001B0385"/>
    <w:rsid w:val="001B21D1"/>
    <w:rsid w:val="001B3060"/>
    <w:rsid w:val="001B344F"/>
    <w:rsid w:val="001B3CF9"/>
    <w:rsid w:val="001B5BCE"/>
    <w:rsid w:val="001C6885"/>
    <w:rsid w:val="001D1322"/>
    <w:rsid w:val="001D30F7"/>
    <w:rsid w:val="001E080D"/>
    <w:rsid w:val="001E57C5"/>
    <w:rsid w:val="001E69FC"/>
    <w:rsid w:val="001E6A34"/>
    <w:rsid w:val="001F5215"/>
    <w:rsid w:val="001F6ED3"/>
    <w:rsid w:val="00200D08"/>
    <w:rsid w:val="0020242D"/>
    <w:rsid w:val="00202A6B"/>
    <w:rsid w:val="00224225"/>
    <w:rsid w:val="00226508"/>
    <w:rsid w:val="00226AE0"/>
    <w:rsid w:val="00226C2E"/>
    <w:rsid w:val="002274FC"/>
    <w:rsid w:val="00236BE1"/>
    <w:rsid w:val="00243527"/>
    <w:rsid w:val="00246961"/>
    <w:rsid w:val="00246D62"/>
    <w:rsid w:val="002479F3"/>
    <w:rsid w:val="00247A8D"/>
    <w:rsid w:val="0025326C"/>
    <w:rsid w:val="00256153"/>
    <w:rsid w:val="00256634"/>
    <w:rsid w:val="0026189B"/>
    <w:rsid w:val="00262B2E"/>
    <w:rsid w:val="00265ABC"/>
    <w:rsid w:val="00276CC7"/>
    <w:rsid w:val="002848ED"/>
    <w:rsid w:val="00285790"/>
    <w:rsid w:val="0028670E"/>
    <w:rsid w:val="002868C0"/>
    <w:rsid w:val="00287F41"/>
    <w:rsid w:val="00291066"/>
    <w:rsid w:val="00292AF1"/>
    <w:rsid w:val="00294A0D"/>
    <w:rsid w:val="002970B2"/>
    <w:rsid w:val="00297E4D"/>
    <w:rsid w:val="002C2748"/>
    <w:rsid w:val="002C6AEE"/>
    <w:rsid w:val="002D1BE6"/>
    <w:rsid w:val="002D2DAB"/>
    <w:rsid w:val="002D4626"/>
    <w:rsid w:val="002D4AE9"/>
    <w:rsid w:val="002D6A98"/>
    <w:rsid w:val="002E1F36"/>
    <w:rsid w:val="002E343F"/>
    <w:rsid w:val="002E39CD"/>
    <w:rsid w:val="002F66E6"/>
    <w:rsid w:val="002F7F8E"/>
    <w:rsid w:val="003004B5"/>
    <w:rsid w:val="00302B7C"/>
    <w:rsid w:val="00305D70"/>
    <w:rsid w:val="00305FA0"/>
    <w:rsid w:val="0030695B"/>
    <w:rsid w:val="0031141B"/>
    <w:rsid w:val="0031257A"/>
    <w:rsid w:val="0032421A"/>
    <w:rsid w:val="00325407"/>
    <w:rsid w:val="00325D70"/>
    <w:rsid w:val="00333FE9"/>
    <w:rsid w:val="00340E0D"/>
    <w:rsid w:val="00344767"/>
    <w:rsid w:val="003512F5"/>
    <w:rsid w:val="00351369"/>
    <w:rsid w:val="00351837"/>
    <w:rsid w:val="003523D0"/>
    <w:rsid w:val="00355890"/>
    <w:rsid w:val="003613B8"/>
    <w:rsid w:val="00364C73"/>
    <w:rsid w:val="003704CE"/>
    <w:rsid w:val="00372558"/>
    <w:rsid w:val="00372D50"/>
    <w:rsid w:val="00376A13"/>
    <w:rsid w:val="00377BF9"/>
    <w:rsid w:val="0038118C"/>
    <w:rsid w:val="00381877"/>
    <w:rsid w:val="00384B97"/>
    <w:rsid w:val="00385DDC"/>
    <w:rsid w:val="00391203"/>
    <w:rsid w:val="00392BC3"/>
    <w:rsid w:val="003933BC"/>
    <w:rsid w:val="003950F2"/>
    <w:rsid w:val="003A0B31"/>
    <w:rsid w:val="003A121B"/>
    <w:rsid w:val="003A2EF7"/>
    <w:rsid w:val="003B2BFF"/>
    <w:rsid w:val="003B2DC5"/>
    <w:rsid w:val="003B438B"/>
    <w:rsid w:val="003B5272"/>
    <w:rsid w:val="003B650B"/>
    <w:rsid w:val="003B7D2C"/>
    <w:rsid w:val="003C05AF"/>
    <w:rsid w:val="003C0CC7"/>
    <w:rsid w:val="003C3535"/>
    <w:rsid w:val="003C5DDF"/>
    <w:rsid w:val="003C77F5"/>
    <w:rsid w:val="003D4AFE"/>
    <w:rsid w:val="003D5008"/>
    <w:rsid w:val="003D5F3B"/>
    <w:rsid w:val="003E0508"/>
    <w:rsid w:val="003E4A68"/>
    <w:rsid w:val="003E7136"/>
    <w:rsid w:val="003F0E09"/>
    <w:rsid w:val="003F18FA"/>
    <w:rsid w:val="003F1D70"/>
    <w:rsid w:val="003F221A"/>
    <w:rsid w:val="003F320D"/>
    <w:rsid w:val="003F62D1"/>
    <w:rsid w:val="003F70BB"/>
    <w:rsid w:val="00400358"/>
    <w:rsid w:val="004042DD"/>
    <w:rsid w:val="00405C3B"/>
    <w:rsid w:val="004064BB"/>
    <w:rsid w:val="004116A5"/>
    <w:rsid w:val="004119D9"/>
    <w:rsid w:val="00414885"/>
    <w:rsid w:val="0041517C"/>
    <w:rsid w:val="00424AB6"/>
    <w:rsid w:val="00427C8D"/>
    <w:rsid w:val="00435DE1"/>
    <w:rsid w:val="00440331"/>
    <w:rsid w:val="00442B98"/>
    <w:rsid w:val="00443464"/>
    <w:rsid w:val="00445E8D"/>
    <w:rsid w:val="0044638B"/>
    <w:rsid w:val="00451957"/>
    <w:rsid w:val="00452BC0"/>
    <w:rsid w:val="004709F6"/>
    <w:rsid w:val="004718E7"/>
    <w:rsid w:val="00472116"/>
    <w:rsid w:val="00473AB4"/>
    <w:rsid w:val="004823CA"/>
    <w:rsid w:val="004844D5"/>
    <w:rsid w:val="00496192"/>
    <w:rsid w:val="004961D0"/>
    <w:rsid w:val="004A223B"/>
    <w:rsid w:val="004A3BA2"/>
    <w:rsid w:val="004A7D75"/>
    <w:rsid w:val="004B0D35"/>
    <w:rsid w:val="004B7ABD"/>
    <w:rsid w:val="004C315F"/>
    <w:rsid w:val="004C6D6E"/>
    <w:rsid w:val="004D0DEE"/>
    <w:rsid w:val="004D741F"/>
    <w:rsid w:val="004E24BF"/>
    <w:rsid w:val="004E28D1"/>
    <w:rsid w:val="004E6A87"/>
    <w:rsid w:val="004F06D2"/>
    <w:rsid w:val="004F1FC0"/>
    <w:rsid w:val="00501232"/>
    <w:rsid w:val="0050292B"/>
    <w:rsid w:val="00503916"/>
    <w:rsid w:val="00506615"/>
    <w:rsid w:val="005076EF"/>
    <w:rsid w:val="00507D9C"/>
    <w:rsid w:val="005131D7"/>
    <w:rsid w:val="00521AC7"/>
    <w:rsid w:val="00521F5A"/>
    <w:rsid w:val="00521FF1"/>
    <w:rsid w:val="005256F8"/>
    <w:rsid w:val="00526D1C"/>
    <w:rsid w:val="00527496"/>
    <w:rsid w:val="0054078F"/>
    <w:rsid w:val="00541E61"/>
    <w:rsid w:val="00544B9F"/>
    <w:rsid w:val="0054729A"/>
    <w:rsid w:val="00547558"/>
    <w:rsid w:val="005545D8"/>
    <w:rsid w:val="0055794F"/>
    <w:rsid w:val="00562EF1"/>
    <w:rsid w:val="00562FD1"/>
    <w:rsid w:val="00563B35"/>
    <w:rsid w:val="00563F19"/>
    <w:rsid w:val="00564C5A"/>
    <w:rsid w:val="00567214"/>
    <w:rsid w:val="00567C88"/>
    <w:rsid w:val="005703B7"/>
    <w:rsid w:val="00583CEA"/>
    <w:rsid w:val="005846B2"/>
    <w:rsid w:val="00592DA6"/>
    <w:rsid w:val="005A4BE9"/>
    <w:rsid w:val="005A5CDB"/>
    <w:rsid w:val="005B3D47"/>
    <w:rsid w:val="005B6F1A"/>
    <w:rsid w:val="005C039C"/>
    <w:rsid w:val="005C0BE8"/>
    <w:rsid w:val="005C0C04"/>
    <w:rsid w:val="005C7369"/>
    <w:rsid w:val="005D16BC"/>
    <w:rsid w:val="005D391C"/>
    <w:rsid w:val="005D5877"/>
    <w:rsid w:val="005E160D"/>
    <w:rsid w:val="005E4E63"/>
    <w:rsid w:val="005E65FF"/>
    <w:rsid w:val="005F103A"/>
    <w:rsid w:val="005F1936"/>
    <w:rsid w:val="005F281E"/>
    <w:rsid w:val="005F2EDA"/>
    <w:rsid w:val="005F325D"/>
    <w:rsid w:val="005F4CCF"/>
    <w:rsid w:val="005F5CA2"/>
    <w:rsid w:val="005F6143"/>
    <w:rsid w:val="005F7EB3"/>
    <w:rsid w:val="00602404"/>
    <w:rsid w:val="00607041"/>
    <w:rsid w:val="00610027"/>
    <w:rsid w:val="006137DF"/>
    <w:rsid w:val="00617B88"/>
    <w:rsid w:val="00625DC8"/>
    <w:rsid w:val="006270BC"/>
    <w:rsid w:val="006311ED"/>
    <w:rsid w:val="00631C43"/>
    <w:rsid w:val="00632B7A"/>
    <w:rsid w:val="006372B2"/>
    <w:rsid w:val="00637483"/>
    <w:rsid w:val="0064044D"/>
    <w:rsid w:val="00640ECA"/>
    <w:rsid w:val="00642E02"/>
    <w:rsid w:val="00644EFB"/>
    <w:rsid w:val="00646554"/>
    <w:rsid w:val="00653BD9"/>
    <w:rsid w:val="00656818"/>
    <w:rsid w:val="006707A6"/>
    <w:rsid w:val="0067082E"/>
    <w:rsid w:val="00672D2F"/>
    <w:rsid w:val="006738BE"/>
    <w:rsid w:val="00676BB9"/>
    <w:rsid w:val="00677CEF"/>
    <w:rsid w:val="00683E5E"/>
    <w:rsid w:val="00687651"/>
    <w:rsid w:val="00687805"/>
    <w:rsid w:val="00691C1A"/>
    <w:rsid w:val="006930C0"/>
    <w:rsid w:val="006967DB"/>
    <w:rsid w:val="006977E0"/>
    <w:rsid w:val="006A203C"/>
    <w:rsid w:val="006A3686"/>
    <w:rsid w:val="006A61AE"/>
    <w:rsid w:val="006B1E08"/>
    <w:rsid w:val="006B68E0"/>
    <w:rsid w:val="006C0556"/>
    <w:rsid w:val="006C6B8E"/>
    <w:rsid w:val="006D11BB"/>
    <w:rsid w:val="006D4639"/>
    <w:rsid w:val="006D4C12"/>
    <w:rsid w:val="006D62D0"/>
    <w:rsid w:val="006F098D"/>
    <w:rsid w:val="006F3FD8"/>
    <w:rsid w:val="006F522A"/>
    <w:rsid w:val="006F6870"/>
    <w:rsid w:val="006F6B2E"/>
    <w:rsid w:val="006F6B94"/>
    <w:rsid w:val="00705FFF"/>
    <w:rsid w:val="007066F1"/>
    <w:rsid w:val="00710531"/>
    <w:rsid w:val="007133D1"/>
    <w:rsid w:val="00725BF3"/>
    <w:rsid w:val="00727ACD"/>
    <w:rsid w:val="00730796"/>
    <w:rsid w:val="00733824"/>
    <w:rsid w:val="00735267"/>
    <w:rsid w:val="007370A0"/>
    <w:rsid w:val="00743843"/>
    <w:rsid w:val="007447EB"/>
    <w:rsid w:val="00745E06"/>
    <w:rsid w:val="00747A5A"/>
    <w:rsid w:val="00752DD3"/>
    <w:rsid w:val="00753838"/>
    <w:rsid w:val="00756A87"/>
    <w:rsid w:val="0076227C"/>
    <w:rsid w:val="007629EB"/>
    <w:rsid w:val="00767F3F"/>
    <w:rsid w:val="007706D2"/>
    <w:rsid w:val="007774AE"/>
    <w:rsid w:val="0078247B"/>
    <w:rsid w:val="00787E99"/>
    <w:rsid w:val="007920F2"/>
    <w:rsid w:val="00796010"/>
    <w:rsid w:val="007A3490"/>
    <w:rsid w:val="007A4435"/>
    <w:rsid w:val="007A51A0"/>
    <w:rsid w:val="007A5510"/>
    <w:rsid w:val="007A5E8B"/>
    <w:rsid w:val="007B0C1C"/>
    <w:rsid w:val="007B1BE4"/>
    <w:rsid w:val="007B2F16"/>
    <w:rsid w:val="007B7BA8"/>
    <w:rsid w:val="007C0A9E"/>
    <w:rsid w:val="007C15F4"/>
    <w:rsid w:val="007C2763"/>
    <w:rsid w:val="007C3962"/>
    <w:rsid w:val="007C5084"/>
    <w:rsid w:val="007C5A5B"/>
    <w:rsid w:val="007C5F51"/>
    <w:rsid w:val="007D1534"/>
    <w:rsid w:val="007D2194"/>
    <w:rsid w:val="007E2264"/>
    <w:rsid w:val="007F30B7"/>
    <w:rsid w:val="00801011"/>
    <w:rsid w:val="00802DF7"/>
    <w:rsid w:val="00803E67"/>
    <w:rsid w:val="00803EF8"/>
    <w:rsid w:val="0080479D"/>
    <w:rsid w:val="008104DC"/>
    <w:rsid w:val="00814F32"/>
    <w:rsid w:val="00815C2D"/>
    <w:rsid w:val="00822653"/>
    <w:rsid w:val="00823849"/>
    <w:rsid w:val="00832291"/>
    <w:rsid w:val="008327BA"/>
    <w:rsid w:val="008343C0"/>
    <w:rsid w:val="008362BC"/>
    <w:rsid w:val="00841A21"/>
    <w:rsid w:val="00842785"/>
    <w:rsid w:val="00853509"/>
    <w:rsid w:val="00857AE8"/>
    <w:rsid w:val="00861580"/>
    <w:rsid w:val="00861E97"/>
    <w:rsid w:val="0086743B"/>
    <w:rsid w:val="00876319"/>
    <w:rsid w:val="008821D5"/>
    <w:rsid w:val="008821D6"/>
    <w:rsid w:val="00885807"/>
    <w:rsid w:val="00895852"/>
    <w:rsid w:val="00895909"/>
    <w:rsid w:val="008B2CE6"/>
    <w:rsid w:val="008B5B59"/>
    <w:rsid w:val="008B6B74"/>
    <w:rsid w:val="008B74DF"/>
    <w:rsid w:val="008C089C"/>
    <w:rsid w:val="008C17F1"/>
    <w:rsid w:val="008C1A98"/>
    <w:rsid w:val="008C2979"/>
    <w:rsid w:val="008C3638"/>
    <w:rsid w:val="008C3ACB"/>
    <w:rsid w:val="008C51BE"/>
    <w:rsid w:val="008D4B28"/>
    <w:rsid w:val="008D5AF3"/>
    <w:rsid w:val="008F0D71"/>
    <w:rsid w:val="008F1198"/>
    <w:rsid w:val="008F1E7F"/>
    <w:rsid w:val="008F24E3"/>
    <w:rsid w:val="008F628A"/>
    <w:rsid w:val="00907FD0"/>
    <w:rsid w:val="00913688"/>
    <w:rsid w:val="00917BAD"/>
    <w:rsid w:val="00917DEF"/>
    <w:rsid w:val="0092038B"/>
    <w:rsid w:val="00926632"/>
    <w:rsid w:val="009279C6"/>
    <w:rsid w:val="009314BD"/>
    <w:rsid w:val="00931A8A"/>
    <w:rsid w:val="00934FD9"/>
    <w:rsid w:val="00940CD5"/>
    <w:rsid w:val="009433AB"/>
    <w:rsid w:val="00950183"/>
    <w:rsid w:val="00955F5E"/>
    <w:rsid w:val="0095667A"/>
    <w:rsid w:val="009604A5"/>
    <w:rsid w:val="00961E1B"/>
    <w:rsid w:val="00967D68"/>
    <w:rsid w:val="00967FEE"/>
    <w:rsid w:val="009715C1"/>
    <w:rsid w:val="00973DC7"/>
    <w:rsid w:val="0097614A"/>
    <w:rsid w:val="0098161F"/>
    <w:rsid w:val="00981E1C"/>
    <w:rsid w:val="00982FB0"/>
    <w:rsid w:val="00983ECB"/>
    <w:rsid w:val="0098513F"/>
    <w:rsid w:val="0098554B"/>
    <w:rsid w:val="009A0B1B"/>
    <w:rsid w:val="009B4AE8"/>
    <w:rsid w:val="009C3C8E"/>
    <w:rsid w:val="009C53FB"/>
    <w:rsid w:val="009C64C8"/>
    <w:rsid w:val="009D2EA1"/>
    <w:rsid w:val="009D31D7"/>
    <w:rsid w:val="009D6665"/>
    <w:rsid w:val="009E6DA2"/>
    <w:rsid w:val="009F4713"/>
    <w:rsid w:val="00A00803"/>
    <w:rsid w:val="00A01724"/>
    <w:rsid w:val="00A04820"/>
    <w:rsid w:val="00A06775"/>
    <w:rsid w:val="00A077F4"/>
    <w:rsid w:val="00A11E78"/>
    <w:rsid w:val="00A135CA"/>
    <w:rsid w:val="00A16FE1"/>
    <w:rsid w:val="00A17451"/>
    <w:rsid w:val="00A200CA"/>
    <w:rsid w:val="00A24E07"/>
    <w:rsid w:val="00A26B31"/>
    <w:rsid w:val="00A278BB"/>
    <w:rsid w:val="00A365D2"/>
    <w:rsid w:val="00A3771B"/>
    <w:rsid w:val="00A4242F"/>
    <w:rsid w:val="00A42C8E"/>
    <w:rsid w:val="00A43766"/>
    <w:rsid w:val="00A47FD8"/>
    <w:rsid w:val="00A51692"/>
    <w:rsid w:val="00A6298D"/>
    <w:rsid w:val="00A63362"/>
    <w:rsid w:val="00A638D1"/>
    <w:rsid w:val="00A6678F"/>
    <w:rsid w:val="00A709DB"/>
    <w:rsid w:val="00A71728"/>
    <w:rsid w:val="00A820EE"/>
    <w:rsid w:val="00A82846"/>
    <w:rsid w:val="00A85DD4"/>
    <w:rsid w:val="00A87674"/>
    <w:rsid w:val="00AA01CA"/>
    <w:rsid w:val="00AA7FC4"/>
    <w:rsid w:val="00AB01CA"/>
    <w:rsid w:val="00AB0C17"/>
    <w:rsid w:val="00AB1CD2"/>
    <w:rsid w:val="00AB1F43"/>
    <w:rsid w:val="00AB735F"/>
    <w:rsid w:val="00AB789B"/>
    <w:rsid w:val="00AC4668"/>
    <w:rsid w:val="00AC469B"/>
    <w:rsid w:val="00AC54CE"/>
    <w:rsid w:val="00AC7B95"/>
    <w:rsid w:val="00AD0D9B"/>
    <w:rsid w:val="00AD6670"/>
    <w:rsid w:val="00AD7EB2"/>
    <w:rsid w:val="00AE26CB"/>
    <w:rsid w:val="00AE3288"/>
    <w:rsid w:val="00AF0563"/>
    <w:rsid w:val="00AF34A2"/>
    <w:rsid w:val="00B00362"/>
    <w:rsid w:val="00B017C0"/>
    <w:rsid w:val="00B04152"/>
    <w:rsid w:val="00B0601F"/>
    <w:rsid w:val="00B06379"/>
    <w:rsid w:val="00B12D1C"/>
    <w:rsid w:val="00B12E49"/>
    <w:rsid w:val="00B22CED"/>
    <w:rsid w:val="00B25869"/>
    <w:rsid w:val="00B30EBD"/>
    <w:rsid w:val="00B332DE"/>
    <w:rsid w:val="00B36ABD"/>
    <w:rsid w:val="00B36B8F"/>
    <w:rsid w:val="00B51A15"/>
    <w:rsid w:val="00B54B31"/>
    <w:rsid w:val="00B6023F"/>
    <w:rsid w:val="00B624DC"/>
    <w:rsid w:val="00B674FC"/>
    <w:rsid w:val="00B7018E"/>
    <w:rsid w:val="00B71045"/>
    <w:rsid w:val="00B72099"/>
    <w:rsid w:val="00B85C36"/>
    <w:rsid w:val="00B86A08"/>
    <w:rsid w:val="00B86BE6"/>
    <w:rsid w:val="00B947B4"/>
    <w:rsid w:val="00B960C5"/>
    <w:rsid w:val="00B96722"/>
    <w:rsid w:val="00BA0884"/>
    <w:rsid w:val="00BA45F1"/>
    <w:rsid w:val="00BB0898"/>
    <w:rsid w:val="00BB4AE8"/>
    <w:rsid w:val="00BC05B0"/>
    <w:rsid w:val="00BC5658"/>
    <w:rsid w:val="00BC5DF4"/>
    <w:rsid w:val="00BD16FC"/>
    <w:rsid w:val="00BD2505"/>
    <w:rsid w:val="00BD6BE4"/>
    <w:rsid w:val="00BE0E9D"/>
    <w:rsid w:val="00BE1269"/>
    <w:rsid w:val="00BE3150"/>
    <w:rsid w:val="00BE37D4"/>
    <w:rsid w:val="00BE4CB1"/>
    <w:rsid w:val="00BF6969"/>
    <w:rsid w:val="00C013FB"/>
    <w:rsid w:val="00C02E85"/>
    <w:rsid w:val="00C02EC6"/>
    <w:rsid w:val="00C02F10"/>
    <w:rsid w:val="00C031CE"/>
    <w:rsid w:val="00C03E6B"/>
    <w:rsid w:val="00C04BAC"/>
    <w:rsid w:val="00C04C76"/>
    <w:rsid w:val="00C04F80"/>
    <w:rsid w:val="00C103E7"/>
    <w:rsid w:val="00C26B22"/>
    <w:rsid w:val="00C33148"/>
    <w:rsid w:val="00C34B87"/>
    <w:rsid w:val="00C35BC7"/>
    <w:rsid w:val="00C41108"/>
    <w:rsid w:val="00C444AD"/>
    <w:rsid w:val="00C509BA"/>
    <w:rsid w:val="00C51AE8"/>
    <w:rsid w:val="00C56AD5"/>
    <w:rsid w:val="00C56F88"/>
    <w:rsid w:val="00C5772E"/>
    <w:rsid w:val="00C57CBE"/>
    <w:rsid w:val="00C61A86"/>
    <w:rsid w:val="00C62FE5"/>
    <w:rsid w:val="00C632D7"/>
    <w:rsid w:val="00C64F94"/>
    <w:rsid w:val="00C65388"/>
    <w:rsid w:val="00C666A9"/>
    <w:rsid w:val="00C75307"/>
    <w:rsid w:val="00C8093B"/>
    <w:rsid w:val="00C818DF"/>
    <w:rsid w:val="00C82531"/>
    <w:rsid w:val="00C87303"/>
    <w:rsid w:val="00C9076B"/>
    <w:rsid w:val="00C93156"/>
    <w:rsid w:val="00C94260"/>
    <w:rsid w:val="00C95805"/>
    <w:rsid w:val="00C96645"/>
    <w:rsid w:val="00C969CE"/>
    <w:rsid w:val="00CA24F9"/>
    <w:rsid w:val="00CA3BCB"/>
    <w:rsid w:val="00CA6286"/>
    <w:rsid w:val="00CC3A1E"/>
    <w:rsid w:val="00CC48CF"/>
    <w:rsid w:val="00CC4A2A"/>
    <w:rsid w:val="00CC76BE"/>
    <w:rsid w:val="00CD0211"/>
    <w:rsid w:val="00CD06EE"/>
    <w:rsid w:val="00CD0C7A"/>
    <w:rsid w:val="00CD2F82"/>
    <w:rsid w:val="00CD3B1E"/>
    <w:rsid w:val="00CD4547"/>
    <w:rsid w:val="00CE0359"/>
    <w:rsid w:val="00CE06E5"/>
    <w:rsid w:val="00CE0C88"/>
    <w:rsid w:val="00CE5827"/>
    <w:rsid w:val="00CF052F"/>
    <w:rsid w:val="00CF4665"/>
    <w:rsid w:val="00CF6D56"/>
    <w:rsid w:val="00CF7A3A"/>
    <w:rsid w:val="00D0058F"/>
    <w:rsid w:val="00D04745"/>
    <w:rsid w:val="00D14214"/>
    <w:rsid w:val="00D14ED4"/>
    <w:rsid w:val="00D15EA0"/>
    <w:rsid w:val="00D170AD"/>
    <w:rsid w:val="00D20BDF"/>
    <w:rsid w:val="00D20CB4"/>
    <w:rsid w:val="00D211B5"/>
    <w:rsid w:val="00D22115"/>
    <w:rsid w:val="00D224A9"/>
    <w:rsid w:val="00D258C0"/>
    <w:rsid w:val="00D25EE5"/>
    <w:rsid w:val="00D301D1"/>
    <w:rsid w:val="00D30F82"/>
    <w:rsid w:val="00D3582E"/>
    <w:rsid w:val="00D40CEC"/>
    <w:rsid w:val="00D438B9"/>
    <w:rsid w:val="00D44148"/>
    <w:rsid w:val="00D46EC2"/>
    <w:rsid w:val="00D5152B"/>
    <w:rsid w:val="00D51572"/>
    <w:rsid w:val="00D53F2F"/>
    <w:rsid w:val="00D54A2B"/>
    <w:rsid w:val="00D54C4C"/>
    <w:rsid w:val="00D55FD2"/>
    <w:rsid w:val="00D56DB5"/>
    <w:rsid w:val="00D62985"/>
    <w:rsid w:val="00D63DAD"/>
    <w:rsid w:val="00D65686"/>
    <w:rsid w:val="00D66EC1"/>
    <w:rsid w:val="00D678F0"/>
    <w:rsid w:val="00D733B1"/>
    <w:rsid w:val="00D73BFE"/>
    <w:rsid w:val="00D74F0D"/>
    <w:rsid w:val="00D815FE"/>
    <w:rsid w:val="00D81913"/>
    <w:rsid w:val="00D866ED"/>
    <w:rsid w:val="00D87BBA"/>
    <w:rsid w:val="00DA424B"/>
    <w:rsid w:val="00DB21B4"/>
    <w:rsid w:val="00DB4B22"/>
    <w:rsid w:val="00DB6372"/>
    <w:rsid w:val="00DB7C9A"/>
    <w:rsid w:val="00DC05E6"/>
    <w:rsid w:val="00DC0BA7"/>
    <w:rsid w:val="00DC1D2F"/>
    <w:rsid w:val="00DC24E2"/>
    <w:rsid w:val="00DC25E1"/>
    <w:rsid w:val="00DC6D23"/>
    <w:rsid w:val="00DD0357"/>
    <w:rsid w:val="00DD3667"/>
    <w:rsid w:val="00DD7CBE"/>
    <w:rsid w:val="00DD7F33"/>
    <w:rsid w:val="00DE04C8"/>
    <w:rsid w:val="00DE0E74"/>
    <w:rsid w:val="00DE1FA2"/>
    <w:rsid w:val="00DE2862"/>
    <w:rsid w:val="00DE2E14"/>
    <w:rsid w:val="00DF176D"/>
    <w:rsid w:val="00DF241E"/>
    <w:rsid w:val="00DF2A75"/>
    <w:rsid w:val="00E02542"/>
    <w:rsid w:val="00E10778"/>
    <w:rsid w:val="00E17BF5"/>
    <w:rsid w:val="00E43E09"/>
    <w:rsid w:val="00E51303"/>
    <w:rsid w:val="00E5199B"/>
    <w:rsid w:val="00E52B3B"/>
    <w:rsid w:val="00E542BA"/>
    <w:rsid w:val="00E55896"/>
    <w:rsid w:val="00E56361"/>
    <w:rsid w:val="00E57DCD"/>
    <w:rsid w:val="00E57E9D"/>
    <w:rsid w:val="00E6267D"/>
    <w:rsid w:val="00E6740B"/>
    <w:rsid w:val="00E70879"/>
    <w:rsid w:val="00E71C8F"/>
    <w:rsid w:val="00E74332"/>
    <w:rsid w:val="00E83935"/>
    <w:rsid w:val="00E861C8"/>
    <w:rsid w:val="00E87468"/>
    <w:rsid w:val="00E87CB6"/>
    <w:rsid w:val="00E91CE7"/>
    <w:rsid w:val="00E92EE3"/>
    <w:rsid w:val="00EA1420"/>
    <w:rsid w:val="00EA1D6C"/>
    <w:rsid w:val="00EA3C05"/>
    <w:rsid w:val="00EB07FF"/>
    <w:rsid w:val="00EB1997"/>
    <w:rsid w:val="00EB3C05"/>
    <w:rsid w:val="00EB570C"/>
    <w:rsid w:val="00EB576B"/>
    <w:rsid w:val="00EB6164"/>
    <w:rsid w:val="00EB6896"/>
    <w:rsid w:val="00EB6983"/>
    <w:rsid w:val="00EB7E19"/>
    <w:rsid w:val="00EC49A8"/>
    <w:rsid w:val="00ED0753"/>
    <w:rsid w:val="00EE19FA"/>
    <w:rsid w:val="00EE72D4"/>
    <w:rsid w:val="00EF0F83"/>
    <w:rsid w:val="00EF1922"/>
    <w:rsid w:val="00EF2B6F"/>
    <w:rsid w:val="00EF38D9"/>
    <w:rsid w:val="00EF3AC6"/>
    <w:rsid w:val="00EF7FAA"/>
    <w:rsid w:val="00F00270"/>
    <w:rsid w:val="00F02831"/>
    <w:rsid w:val="00F116E7"/>
    <w:rsid w:val="00F11DF4"/>
    <w:rsid w:val="00F22098"/>
    <w:rsid w:val="00F2306C"/>
    <w:rsid w:val="00F2435A"/>
    <w:rsid w:val="00F254DC"/>
    <w:rsid w:val="00F26EBD"/>
    <w:rsid w:val="00F27A48"/>
    <w:rsid w:val="00F34682"/>
    <w:rsid w:val="00F36926"/>
    <w:rsid w:val="00F4045E"/>
    <w:rsid w:val="00F42B63"/>
    <w:rsid w:val="00F45FCB"/>
    <w:rsid w:val="00F50151"/>
    <w:rsid w:val="00F51944"/>
    <w:rsid w:val="00F545FE"/>
    <w:rsid w:val="00F5587F"/>
    <w:rsid w:val="00F55C08"/>
    <w:rsid w:val="00F5665B"/>
    <w:rsid w:val="00F579EE"/>
    <w:rsid w:val="00F650B3"/>
    <w:rsid w:val="00F6694E"/>
    <w:rsid w:val="00F670F8"/>
    <w:rsid w:val="00F70358"/>
    <w:rsid w:val="00F73AE9"/>
    <w:rsid w:val="00F8278A"/>
    <w:rsid w:val="00F84A7F"/>
    <w:rsid w:val="00F85908"/>
    <w:rsid w:val="00F950CC"/>
    <w:rsid w:val="00F9529F"/>
    <w:rsid w:val="00F97FE3"/>
    <w:rsid w:val="00FA0ABF"/>
    <w:rsid w:val="00FA1532"/>
    <w:rsid w:val="00FA15F3"/>
    <w:rsid w:val="00FA166D"/>
    <w:rsid w:val="00FA7A22"/>
    <w:rsid w:val="00FB1446"/>
    <w:rsid w:val="00FB7BD5"/>
    <w:rsid w:val="00FC32FE"/>
    <w:rsid w:val="00FC3A82"/>
    <w:rsid w:val="00FC56FB"/>
    <w:rsid w:val="00FD04B6"/>
    <w:rsid w:val="00FD2511"/>
    <w:rsid w:val="00FD4914"/>
    <w:rsid w:val="00FD5113"/>
    <w:rsid w:val="00FE07EE"/>
    <w:rsid w:val="00FE098B"/>
    <w:rsid w:val="00FE488D"/>
    <w:rsid w:val="00FE52A9"/>
    <w:rsid w:val="00FE745C"/>
    <w:rsid w:val="00FF4092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E133"/>
  <w15:chartTrackingRefBased/>
  <w15:docId w15:val="{4BC45C13-DB76-4C14-B253-CFA087E3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9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5199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519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5199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E5199B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51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99B"/>
  </w:style>
  <w:style w:type="paragraph" w:styleId="Revisione">
    <w:name w:val="Revision"/>
    <w:hidden/>
    <w:uiPriority w:val="99"/>
    <w:semiHidden/>
    <w:rsid w:val="003613B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131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131D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131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31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31D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223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319"/>
  </w:style>
  <w:style w:type="paragraph" w:customStyle="1" w:styleId="Bullets">
    <w:name w:val="_Bullets"/>
    <w:basedOn w:val="Normale"/>
    <w:rsid w:val="00DC0BA7"/>
    <w:pPr>
      <w:numPr>
        <w:numId w:val="11"/>
      </w:numPr>
      <w:spacing w:after="60" w:line="220" w:lineRule="exact"/>
      <w:ind w:left="230" w:right="11" w:hanging="230"/>
      <w:jc w:val="both"/>
    </w:pPr>
    <w:rPr>
      <w:rFonts w:ascii="Calibri" w:hAnsi="Calibri" w:cs="Calibri"/>
      <w:color w:val="000000"/>
      <w:spacing w:val="-2"/>
      <w:sz w:val="19"/>
      <w:szCs w:val="19"/>
    </w:rPr>
  </w:style>
  <w:style w:type="character" w:customStyle="1" w:styleId="BodyTextChar">
    <w:name w:val="_BodyText Char"/>
    <w:basedOn w:val="Carpredefinitoparagrafo"/>
    <w:link w:val="BodyText"/>
    <w:locked/>
    <w:rsid w:val="00DC0BA7"/>
    <w:rPr>
      <w:color w:val="000000"/>
      <w:spacing w:val="-2"/>
    </w:rPr>
  </w:style>
  <w:style w:type="paragraph" w:customStyle="1" w:styleId="BodyText">
    <w:name w:val="_BodyText"/>
    <w:basedOn w:val="Normale"/>
    <w:link w:val="BodyTextChar"/>
    <w:rsid w:val="00DC0BA7"/>
    <w:pPr>
      <w:spacing w:after="120" w:line="240" w:lineRule="auto"/>
      <w:jc w:val="both"/>
    </w:pPr>
    <w:rPr>
      <w:color w:val="000000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ce.cagnoni@bc-communicatio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Turco - BC Communication</dc:creator>
  <cp:keywords/>
  <dc:description/>
  <cp:lastModifiedBy>Info BC Communication</cp:lastModifiedBy>
  <cp:revision>34</cp:revision>
  <dcterms:created xsi:type="dcterms:W3CDTF">2024-01-22T08:14:00Z</dcterms:created>
  <dcterms:modified xsi:type="dcterms:W3CDTF">2024-02-26T09:03:00Z</dcterms:modified>
</cp:coreProperties>
</file>