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B8C9" w14:textId="2B13CE73" w:rsidR="0033431C" w:rsidRDefault="00966A43" w:rsidP="00966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43">
        <w:rPr>
          <w:rFonts w:ascii="Times New Roman" w:hAnsi="Times New Roman" w:cs="Times New Roman"/>
          <w:sz w:val="28"/>
          <w:szCs w:val="28"/>
        </w:rPr>
        <w:t xml:space="preserve">Lo </w:t>
      </w:r>
      <w:r w:rsidRPr="00966A43">
        <w:rPr>
          <w:rFonts w:ascii="Times New Roman" w:hAnsi="Times New Roman" w:cs="Times New Roman"/>
          <w:sz w:val="28"/>
          <w:szCs w:val="28"/>
        </w:rPr>
        <w:t xml:space="preserve">Studio </w:t>
      </w:r>
      <w:proofErr w:type="spellStart"/>
      <w:r w:rsidRPr="00966A43">
        <w:rPr>
          <w:rFonts w:ascii="Times New Roman" w:hAnsi="Times New Roman" w:cs="Times New Roman"/>
          <w:sz w:val="28"/>
          <w:szCs w:val="28"/>
        </w:rPr>
        <w:t>Ansaldi&amp;Partners</w:t>
      </w:r>
      <w:proofErr w:type="spellEnd"/>
      <w:r w:rsidRPr="00966A43">
        <w:rPr>
          <w:rFonts w:ascii="Times New Roman" w:hAnsi="Times New Roman" w:cs="Times New Roman"/>
          <w:sz w:val="28"/>
          <w:szCs w:val="28"/>
        </w:rPr>
        <w:t xml:space="preserve"> di Napoli e i chiarimenti sul credito d’imposta 5.0</w:t>
      </w:r>
    </w:p>
    <w:p w14:paraId="0C80045B" w14:textId="77777777" w:rsidR="00966A43" w:rsidRDefault="00966A43" w:rsidP="00966A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D4233" w14:textId="3D3E03D8" w:rsidR="0069066A" w:rsidRPr="00966A43" w:rsidRDefault="00966A43" w:rsidP="002B3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L’importantissima notizia della presentazione del</w:t>
      </w:r>
      <w:r w:rsidRPr="00966A43">
        <w:rPr>
          <w:rFonts w:ascii="Times New Roman" w:hAnsi="Times New Roman" w:cs="Times New Roman"/>
          <w:sz w:val="28"/>
          <w:szCs w:val="28"/>
        </w:rPr>
        <w:t xml:space="preserve"> </w:t>
      </w:r>
      <w:r w:rsidRPr="00132B0D">
        <w:rPr>
          <w:rFonts w:ascii="Times New Roman" w:hAnsi="Times New Roman" w:cs="Times New Roman"/>
          <w:b/>
          <w:bCs/>
          <w:sz w:val="28"/>
          <w:szCs w:val="28"/>
        </w:rPr>
        <w:t>piano Transizione 5.0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6A43">
        <w:rPr>
          <w:rFonts w:ascii="Times New Roman" w:hAnsi="Times New Roman" w:cs="Times New Roman"/>
          <w:sz w:val="28"/>
          <w:szCs w:val="28"/>
        </w:rPr>
        <w:t xml:space="preserve"> contenuto nel </w:t>
      </w:r>
      <w:r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decreto legge </w:t>
      </w:r>
      <w:proofErr w:type="spellStart"/>
      <w:r w:rsidRPr="00132B0D">
        <w:rPr>
          <w:rFonts w:ascii="Times New Roman" w:hAnsi="Times New Roman" w:cs="Times New Roman"/>
          <w:b/>
          <w:bCs/>
          <w:sz w:val="28"/>
          <w:szCs w:val="28"/>
        </w:rPr>
        <w:t>Pnrr</w:t>
      </w:r>
      <w:proofErr w:type="spellEnd"/>
      <w:r w:rsidR="00132B0D">
        <w:rPr>
          <w:rFonts w:ascii="Times New Roman" w:hAnsi="Times New Roman" w:cs="Times New Roman"/>
          <w:sz w:val="28"/>
          <w:szCs w:val="28"/>
        </w:rPr>
        <w:t xml:space="preserve">, </w:t>
      </w:r>
      <w:r w:rsidRPr="00966A43">
        <w:rPr>
          <w:rFonts w:ascii="Times New Roman" w:hAnsi="Times New Roman" w:cs="Times New Roman"/>
          <w:sz w:val="28"/>
          <w:szCs w:val="28"/>
        </w:rPr>
        <w:t>approvato dal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43">
        <w:rPr>
          <w:rFonts w:ascii="Times New Roman" w:hAnsi="Times New Roman" w:cs="Times New Roman"/>
          <w:sz w:val="28"/>
          <w:szCs w:val="28"/>
        </w:rPr>
        <w:t>consiglio dei ministri il 26 febbraio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96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66A43">
        <w:rPr>
          <w:rFonts w:ascii="Times New Roman" w:hAnsi="Times New Roman" w:cs="Times New Roman"/>
          <w:sz w:val="28"/>
          <w:szCs w:val="28"/>
        </w:rPr>
        <w:t>tteso da mesi dalle imprese</w:t>
      </w:r>
      <w:r w:rsidR="00132B0D">
        <w:rPr>
          <w:rFonts w:ascii="Times New Roman" w:hAnsi="Times New Roman" w:cs="Times New Roman"/>
          <w:sz w:val="28"/>
          <w:szCs w:val="28"/>
        </w:rPr>
        <w:t xml:space="preserve"> </w:t>
      </w:r>
      <w:r w:rsidRPr="00966A43">
        <w:rPr>
          <w:rFonts w:ascii="Times New Roman" w:hAnsi="Times New Roman" w:cs="Times New Roman"/>
          <w:sz w:val="28"/>
          <w:szCs w:val="28"/>
        </w:rPr>
        <w:t>che in diversi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43">
        <w:rPr>
          <w:rFonts w:ascii="Times New Roman" w:hAnsi="Times New Roman" w:cs="Times New Roman"/>
          <w:sz w:val="28"/>
          <w:szCs w:val="28"/>
        </w:rPr>
        <w:t xml:space="preserve">casi hanno sospeso gli investimenti in vista dei nuovi crediti d’imposta, </w:t>
      </w:r>
      <w:r>
        <w:rPr>
          <w:rFonts w:ascii="Times New Roman" w:hAnsi="Times New Roman" w:cs="Times New Roman"/>
          <w:sz w:val="28"/>
          <w:szCs w:val="28"/>
        </w:rPr>
        <w:t xml:space="preserve">sta per divenire legge dopo l’approvazione di due </w:t>
      </w:r>
      <w:r w:rsidR="00132B0D">
        <w:rPr>
          <w:rFonts w:ascii="Times New Roman" w:hAnsi="Times New Roman" w:cs="Times New Roman"/>
          <w:sz w:val="28"/>
          <w:szCs w:val="28"/>
        </w:rPr>
        <w:t xml:space="preserve">attesi </w:t>
      </w:r>
      <w:r>
        <w:rPr>
          <w:rFonts w:ascii="Times New Roman" w:hAnsi="Times New Roman" w:cs="Times New Roman"/>
          <w:sz w:val="28"/>
          <w:szCs w:val="28"/>
        </w:rPr>
        <w:t xml:space="preserve">decreti attuativi. </w:t>
      </w:r>
      <w:r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Un’importante </w:t>
      </w:r>
      <w:r w:rsidR="0069066A" w:rsidRPr="00132B0D">
        <w:rPr>
          <w:rFonts w:ascii="Times New Roman" w:hAnsi="Times New Roman" w:cs="Times New Roman"/>
          <w:b/>
          <w:bCs/>
          <w:sz w:val="28"/>
          <w:szCs w:val="28"/>
        </w:rPr>
        <w:t>novità</w:t>
      </w:r>
      <w:r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 per le imprese e gli imprenditori che possono cogliere </w:t>
      </w:r>
      <w:r w:rsidR="00132B0D">
        <w:rPr>
          <w:rFonts w:ascii="Times New Roman" w:hAnsi="Times New Roman" w:cs="Times New Roman"/>
          <w:b/>
          <w:bCs/>
          <w:sz w:val="28"/>
          <w:szCs w:val="28"/>
        </w:rPr>
        <w:t xml:space="preserve">nuove </w:t>
      </w:r>
      <w:r w:rsidRPr="00132B0D">
        <w:rPr>
          <w:rFonts w:ascii="Times New Roman" w:hAnsi="Times New Roman" w:cs="Times New Roman"/>
          <w:b/>
          <w:bCs/>
          <w:sz w:val="28"/>
          <w:szCs w:val="28"/>
        </w:rPr>
        <w:t>opportunità</w:t>
      </w:r>
      <w:r>
        <w:rPr>
          <w:rFonts w:ascii="Times New Roman" w:hAnsi="Times New Roman" w:cs="Times New Roman"/>
          <w:sz w:val="28"/>
          <w:szCs w:val="28"/>
        </w:rPr>
        <w:t xml:space="preserve"> per la propria realtà economica e commerciale. </w:t>
      </w:r>
      <w:r w:rsidRPr="00132B0D">
        <w:rPr>
          <w:rFonts w:ascii="Times New Roman" w:hAnsi="Times New Roman" w:cs="Times New Roman"/>
          <w:b/>
          <w:bCs/>
          <w:sz w:val="28"/>
          <w:szCs w:val="28"/>
        </w:rPr>
        <w:t>Umberto Pagano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066A">
        <w:rPr>
          <w:rFonts w:ascii="Times New Roman" w:hAnsi="Times New Roman" w:cs="Times New Roman"/>
          <w:sz w:val="28"/>
          <w:szCs w:val="28"/>
        </w:rPr>
        <w:t xml:space="preserve">consulente </w:t>
      </w:r>
      <w:r>
        <w:rPr>
          <w:rFonts w:ascii="Times New Roman" w:hAnsi="Times New Roman" w:cs="Times New Roman"/>
          <w:sz w:val="28"/>
          <w:szCs w:val="28"/>
        </w:rPr>
        <w:t xml:space="preserve">ed esperto di internazionalizzazione dello </w:t>
      </w:r>
      <w:r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Studio </w:t>
      </w:r>
      <w:proofErr w:type="spellStart"/>
      <w:r w:rsidRPr="00132B0D">
        <w:rPr>
          <w:rFonts w:ascii="Times New Roman" w:hAnsi="Times New Roman" w:cs="Times New Roman"/>
          <w:b/>
          <w:bCs/>
          <w:sz w:val="28"/>
          <w:szCs w:val="28"/>
        </w:rPr>
        <w:t>Ansaldi&amp;Partners</w:t>
      </w:r>
      <w:proofErr w:type="spellEnd"/>
      <w:r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 di Napoli</w:t>
      </w:r>
      <w:r>
        <w:rPr>
          <w:rFonts w:ascii="Times New Roman" w:hAnsi="Times New Roman" w:cs="Times New Roman"/>
          <w:sz w:val="28"/>
          <w:szCs w:val="28"/>
        </w:rPr>
        <w:t xml:space="preserve">, sta promuovendo </w:t>
      </w:r>
      <w:r w:rsidR="0069066A">
        <w:rPr>
          <w:rFonts w:ascii="Times New Roman" w:hAnsi="Times New Roman" w:cs="Times New Roman"/>
          <w:sz w:val="28"/>
          <w:szCs w:val="28"/>
        </w:rPr>
        <w:t>approfondimenti specifici e incontri formativi per la comprensione delle nuove direttive legate al credito d’imposta 5.0.  “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Il programma, che dispone di una dote di 6,3 miliardi di fondi europei del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RepowerEu</w:t>
      </w:r>
      <w:proofErr w:type="spellEnd"/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, punta a incentivare progetti di innovazione effettuati nel 2024 e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2025 che conseguono una riduzione dei consumi energetici. Sono agevolabili gli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investimenti (acquisto o leasing) in beni strumentali materiali (macchine utensili,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robot, magazzini automatizzati) e immateriali (software) tecnologicamente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avanzati e interconnessi ai sistemi di fabbrica indicati nella legge di bilancio 2017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che aveva definito il piano Industria 4.0, a condizione che siano usati in progetti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di innovazione che riducano i consumi energetici della struttura produttiva di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066A" w:rsidRPr="002B3C13">
        <w:rPr>
          <w:rFonts w:ascii="Times New Roman" w:hAnsi="Times New Roman" w:cs="Times New Roman"/>
          <w:i/>
          <w:iCs/>
          <w:sz w:val="28"/>
          <w:szCs w:val="28"/>
        </w:rPr>
        <w:t>almeno il 3% (oppure i processi interessati dall’investimento almeno del 5%)</w:t>
      </w:r>
      <w:r w:rsidR="0069066A">
        <w:rPr>
          <w:rFonts w:ascii="Times New Roman" w:hAnsi="Times New Roman" w:cs="Times New Roman"/>
          <w:sz w:val="28"/>
          <w:szCs w:val="28"/>
        </w:rPr>
        <w:t xml:space="preserve">”, ha ribadito </w:t>
      </w:r>
      <w:r w:rsidR="00132B0D">
        <w:rPr>
          <w:rFonts w:ascii="Times New Roman" w:hAnsi="Times New Roman" w:cs="Times New Roman"/>
          <w:sz w:val="28"/>
          <w:szCs w:val="28"/>
        </w:rPr>
        <w:t xml:space="preserve">il consulente </w:t>
      </w:r>
      <w:r w:rsidR="0069066A" w:rsidRPr="00132B0D">
        <w:rPr>
          <w:rFonts w:ascii="Times New Roman" w:hAnsi="Times New Roman" w:cs="Times New Roman"/>
          <w:b/>
          <w:bCs/>
          <w:sz w:val="28"/>
          <w:szCs w:val="28"/>
        </w:rPr>
        <w:t>Umberto Pagano</w:t>
      </w:r>
      <w:r w:rsidR="0069066A">
        <w:rPr>
          <w:rFonts w:ascii="Times New Roman" w:hAnsi="Times New Roman" w:cs="Times New Roman"/>
          <w:sz w:val="28"/>
          <w:szCs w:val="28"/>
        </w:rPr>
        <w:t xml:space="preserve">. </w:t>
      </w:r>
      <w:r w:rsidR="002B3C13">
        <w:rPr>
          <w:rFonts w:ascii="Times New Roman" w:hAnsi="Times New Roman" w:cs="Times New Roman"/>
          <w:sz w:val="28"/>
          <w:szCs w:val="28"/>
        </w:rPr>
        <w:t xml:space="preserve">Gli esperti dello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Studio </w:t>
      </w:r>
      <w:proofErr w:type="spellStart"/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Ansaldi&amp;Partners</w:t>
      </w:r>
      <w:proofErr w:type="spellEnd"/>
      <w:r w:rsidR="002B3C13">
        <w:rPr>
          <w:rFonts w:ascii="Times New Roman" w:hAnsi="Times New Roman" w:cs="Times New Roman"/>
          <w:sz w:val="28"/>
          <w:szCs w:val="28"/>
        </w:rPr>
        <w:t xml:space="preserve"> registrano 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un ampliamento rispetto alla vecchia platea di beni: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vengono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ricompresi anche software o applicazioni per il monitoraggio dei consumi e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dell’energia autoprodotta o che introducono meccanismi di efficienza energetica</w:t>
      </w:r>
      <w:r w:rsidR="002B3C13">
        <w:rPr>
          <w:rFonts w:ascii="Times New Roman" w:hAnsi="Times New Roman" w:cs="Times New Roman"/>
          <w:sz w:val="28"/>
          <w:szCs w:val="28"/>
        </w:rPr>
        <w:t>. In aggiunta, n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ell’ambito dei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progetti di innovazione che sono superiori a un importo di 40mila euro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, </w:t>
      </w:r>
      <w:r w:rsidR="002B3C13">
        <w:rPr>
          <w:rFonts w:ascii="Times New Roman" w:hAnsi="Times New Roman" w:cs="Times New Roman"/>
          <w:sz w:val="28"/>
          <w:szCs w:val="28"/>
        </w:rPr>
        <w:t xml:space="preserve">si può accedere anche ad importanti agevolazioni per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investimenti in impianti per l’autoproduzione di energia rinnovabile destinata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all’autoconsumo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, escluse le biomasse. Per quanto riguarda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i pannelli fotovoltaici</w:t>
      </w:r>
      <w:r w:rsidR="002B3C13" w:rsidRPr="002B3C13">
        <w:rPr>
          <w:rFonts w:ascii="Times New Roman" w:hAnsi="Times New Roman" w:cs="Times New Roman"/>
          <w:sz w:val="28"/>
          <w:szCs w:val="28"/>
        </w:rPr>
        <w:t>,</w:t>
      </w:r>
      <w:r w:rsidR="002B3C13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sono ammessi solo quelli inseriti nel registro Enea: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quindi prodotti nella Ue e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classificati secondo tre livelli di alta efficienza</w:t>
      </w:r>
      <w:r w:rsidR="002B3C13" w:rsidRPr="002B3C13">
        <w:rPr>
          <w:rFonts w:ascii="Times New Roman" w:hAnsi="Times New Roman" w:cs="Times New Roman"/>
          <w:sz w:val="28"/>
          <w:szCs w:val="28"/>
        </w:rPr>
        <w:t>.</w:t>
      </w:r>
      <w:r w:rsidR="002B3C13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Anche le spese di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formazione sulle tecnologie rilevanti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 per la transizione digitale</w:t>
      </w:r>
      <w:r w:rsidR="002B3C13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>ed energetica sono agevolabili, ma solo entro il 10% degli investimenti totali</w:t>
      </w:r>
      <w:r w:rsidR="002B3C13">
        <w:rPr>
          <w:rFonts w:ascii="Times New Roman" w:hAnsi="Times New Roman" w:cs="Times New Roman"/>
          <w:sz w:val="28"/>
          <w:szCs w:val="28"/>
        </w:rPr>
        <w:t>. “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>Per investimenti fino a 2,5 milioni il credito di imposta arriverà al 45% nella terza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>classe di efficienza energetica, cioè quella che darà risultati migliori di risparmio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>(almeno il 10% per l’unità produttiva o 15% per il processo). Si scende a un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>credito d’imposta al 40% e al 35% nella seconda classe di risparmio (dal 6 a 10%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>per unità produttiva e 10-15% per il processo) e nella prima (rispettivamente dal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>3 al 6% e dal 5 al 10%). L’intensità dell’aiuto cala all’aumentare dell’investimento,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>secondo la logica di premiare di più le piccole e medie aziende rispetto ai grandi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i/>
          <w:iCs/>
          <w:sz w:val="28"/>
          <w:szCs w:val="28"/>
        </w:rPr>
        <w:t>gruppi</w:t>
      </w:r>
      <w:r w:rsidR="002B3C13">
        <w:rPr>
          <w:rFonts w:ascii="Times New Roman" w:hAnsi="Times New Roman" w:cs="Times New Roman"/>
          <w:sz w:val="28"/>
          <w:szCs w:val="28"/>
        </w:rPr>
        <w:t xml:space="preserve">”, ribadisce l’esperto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Umberto Pagano</w:t>
      </w:r>
      <w:r w:rsidR="002B3C13">
        <w:rPr>
          <w:rFonts w:ascii="Times New Roman" w:hAnsi="Times New Roman" w:cs="Times New Roman"/>
          <w:sz w:val="28"/>
          <w:szCs w:val="28"/>
        </w:rPr>
        <w:t xml:space="preserve">. 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Il piano 5.0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non cancella i crediti di imposta di Transizione 4.0</w:t>
      </w:r>
      <w:r w:rsidR="002B3C13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che restano in vigore per chi effettua investimenti in </w:t>
      </w:r>
      <w:r w:rsidR="002B3C13" w:rsidRPr="002B3C13">
        <w:rPr>
          <w:rFonts w:ascii="Times New Roman" w:hAnsi="Times New Roman" w:cs="Times New Roman"/>
          <w:sz w:val="28"/>
          <w:szCs w:val="28"/>
        </w:rPr>
        <w:lastRenderedPageBreak/>
        <w:t>digitalizzazione che non</w:t>
      </w:r>
      <w:r w:rsidR="002B3C13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>producono però un predeterminato risparmio energetico. Ma, in relazione ai</w:t>
      </w:r>
      <w:r w:rsidR="002B3C13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medesimi costi ammissibili,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le due agevolazioni non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sono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cumulabili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 tra loro.</w:t>
      </w:r>
      <w:r w:rsidR="002B3C13">
        <w:rPr>
          <w:rFonts w:ascii="Times New Roman" w:hAnsi="Times New Roman" w:cs="Times New Roman"/>
          <w:sz w:val="28"/>
          <w:szCs w:val="28"/>
        </w:rPr>
        <w:t xml:space="preserve"> Infine,</w:t>
      </w:r>
      <w:r w:rsidR="00132B0D">
        <w:rPr>
          <w:rFonts w:ascii="Times New Roman" w:hAnsi="Times New Roman" w:cs="Times New Roman"/>
          <w:sz w:val="28"/>
          <w:szCs w:val="28"/>
        </w:rPr>
        <w:t xml:space="preserve"> </w:t>
      </w:r>
      <w:r w:rsidR="002B3C13">
        <w:rPr>
          <w:rFonts w:ascii="Times New Roman" w:hAnsi="Times New Roman" w:cs="Times New Roman"/>
          <w:sz w:val="28"/>
          <w:szCs w:val="28"/>
        </w:rPr>
        <w:t xml:space="preserve">importante </w:t>
      </w:r>
      <w:r w:rsidR="00132B0D">
        <w:rPr>
          <w:rFonts w:ascii="Times New Roman" w:hAnsi="Times New Roman" w:cs="Times New Roman"/>
          <w:sz w:val="28"/>
          <w:szCs w:val="28"/>
        </w:rPr>
        <w:t xml:space="preserve">è </w:t>
      </w:r>
      <w:r w:rsidR="002B3C13">
        <w:rPr>
          <w:rFonts w:ascii="Times New Roman" w:hAnsi="Times New Roman" w:cs="Times New Roman"/>
          <w:sz w:val="28"/>
          <w:szCs w:val="28"/>
        </w:rPr>
        <w:t xml:space="preserve">ribadire che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l “bonus” non scatta per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 gli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 investimenti in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settori non compati</w:t>
      </w:r>
      <w:r w:rsidR="00132B0D" w:rsidRPr="00132B0D">
        <w:rPr>
          <w:rFonts w:ascii="Times New Roman" w:hAnsi="Times New Roman" w:cs="Times New Roman"/>
          <w:b/>
          <w:bCs/>
          <w:sz w:val="28"/>
          <w:szCs w:val="28"/>
        </w:rPr>
        <w:t>bi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li con</w:t>
      </w:r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 xml:space="preserve"> il principio Ue </w:t>
      </w:r>
      <w:proofErr w:type="spellStart"/>
      <w:r w:rsidR="002B3C13" w:rsidRPr="00132B0D">
        <w:rPr>
          <w:rFonts w:ascii="Times New Roman" w:hAnsi="Times New Roman" w:cs="Times New Roman"/>
          <w:b/>
          <w:bCs/>
          <w:sz w:val="28"/>
          <w:szCs w:val="28"/>
        </w:rPr>
        <w:t>Dnsh</w:t>
      </w:r>
      <w:proofErr w:type="spellEnd"/>
      <w:r w:rsidR="002B3C13" w:rsidRPr="002B3C13">
        <w:rPr>
          <w:rFonts w:ascii="Times New Roman" w:hAnsi="Times New Roman" w:cs="Times New Roman"/>
          <w:sz w:val="28"/>
          <w:szCs w:val="28"/>
        </w:rPr>
        <w:t xml:space="preserve"> (non arrecare</w:t>
      </w:r>
      <w:r w:rsidR="002B3C13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>danni significativi all’ambiente), a partire dalle attività direttamente connesse ai</w:t>
      </w:r>
      <w:r w:rsidR="002B3C13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>combustibili fossili</w:t>
      </w:r>
      <w:r w:rsidR="00132B0D">
        <w:rPr>
          <w:rFonts w:ascii="Times New Roman" w:hAnsi="Times New Roman" w:cs="Times New Roman"/>
          <w:sz w:val="28"/>
          <w:szCs w:val="28"/>
        </w:rPr>
        <w:t xml:space="preserve">, </w:t>
      </w:r>
      <w:r w:rsidR="002B3C13" w:rsidRPr="002B3C13">
        <w:rPr>
          <w:rFonts w:ascii="Times New Roman" w:hAnsi="Times New Roman" w:cs="Times New Roman"/>
          <w:sz w:val="28"/>
          <w:szCs w:val="28"/>
        </w:rPr>
        <w:t>nei settori dell’energia, dell’acqua, dei trasporti,</w:t>
      </w:r>
      <w:r w:rsidR="00132B0D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>delle infrastrutture, dell</w:t>
      </w:r>
      <w:r w:rsidR="00132B0D">
        <w:rPr>
          <w:rFonts w:ascii="Times New Roman" w:hAnsi="Times New Roman" w:cs="Times New Roman"/>
          <w:sz w:val="28"/>
          <w:szCs w:val="28"/>
        </w:rPr>
        <w:t>e</w:t>
      </w:r>
      <w:r w:rsidR="002B3C13" w:rsidRPr="002B3C13">
        <w:rPr>
          <w:rFonts w:ascii="Times New Roman" w:hAnsi="Times New Roman" w:cs="Times New Roman"/>
          <w:sz w:val="28"/>
          <w:szCs w:val="28"/>
        </w:rPr>
        <w:t xml:space="preserve"> poste, delle </w:t>
      </w:r>
      <w:r w:rsidR="00132B0D">
        <w:rPr>
          <w:rFonts w:ascii="Times New Roman" w:hAnsi="Times New Roman" w:cs="Times New Roman"/>
          <w:sz w:val="28"/>
          <w:szCs w:val="28"/>
        </w:rPr>
        <w:t>T</w:t>
      </w:r>
      <w:r w:rsidR="002B3C13" w:rsidRPr="002B3C13">
        <w:rPr>
          <w:rFonts w:ascii="Times New Roman" w:hAnsi="Times New Roman" w:cs="Times New Roman"/>
          <w:sz w:val="28"/>
          <w:szCs w:val="28"/>
        </w:rPr>
        <w:t>lc, della depurazione delle acque e della</w:t>
      </w:r>
      <w:r w:rsidR="00132B0D">
        <w:rPr>
          <w:rFonts w:ascii="Times New Roman" w:hAnsi="Times New Roman" w:cs="Times New Roman"/>
          <w:sz w:val="28"/>
          <w:szCs w:val="28"/>
        </w:rPr>
        <w:t xml:space="preserve"> </w:t>
      </w:r>
      <w:r w:rsidR="002B3C13" w:rsidRPr="002B3C13">
        <w:rPr>
          <w:rFonts w:ascii="Times New Roman" w:hAnsi="Times New Roman" w:cs="Times New Roman"/>
          <w:sz w:val="28"/>
          <w:szCs w:val="28"/>
        </w:rPr>
        <w:t>raccolta e smaltimento dei rifiuti</w:t>
      </w:r>
      <w:r w:rsidR="00132B0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9066A" w:rsidRPr="00966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44"/>
    <w:rsid w:val="00132B0D"/>
    <w:rsid w:val="002B3C13"/>
    <w:rsid w:val="0033431C"/>
    <w:rsid w:val="00515944"/>
    <w:rsid w:val="00662F70"/>
    <w:rsid w:val="0069066A"/>
    <w:rsid w:val="00705028"/>
    <w:rsid w:val="009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B01A"/>
  <w15:chartTrackingRefBased/>
  <w15:docId w15:val="{691DAC3D-3537-4947-82DE-D98CF459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4</cp:revision>
  <dcterms:created xsi:type="dcterms:W3CDTF">2024-02-28T08:55:00Z</dcterms:created>
  <dcterms:modified xsi:type="dcterms:W3CDTF">2024-02-28T09:23:00Z</dcterms:modified>
</cp:coreProperties>
</file>