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29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
        <w:gridCol w:w="6800"/>
      </w:tblGrid>
      <w:tr w:rsidR="000A4C32" w:rsidRPr="00B25371" w14:paraId="1CBE05F7" w14:textId="77777777" w:rsidTr="001F7F58">
        <w:trPr>
          <w:trHeight w:val="300"/>
        </w:trPr>
        <w:tc>
          <w:tcPr>
            <w:tcW w:w="360" w:type="dxa"/>
            <w:tcBorders>
              <w:top w:val="single" w:sz="6" w:space="0" w:color="FFFFFF" w:themeColor="background1"/>
              <w:left w:val="nil"/>
              <w:bottom w:val="single" w:sz="6" w:space="0" w:color="FFFFFF" w:themeColor="background1"/>
              <w:right w:val="single" w:sz="6" w:space="0" w:color="FFFFFF" w:themeColor="background1"/>
            </w:tcBorders>
            <w:shd w:val="clear" w:color="auto" w:fill="auto"/>
            <w:hideMark/>
          </w:tcPr>
          <w:p w14:paraId="60A2F2A5" w14:textId="77777777" w:rsidR="000A4C32" w:rsidRPr="00B25371" w:rsidRDefault="000A4C32" w:rsidP="00E21CD5">
            <w:pPr>
              <w:spacing w:after="0" w:line="240" w:lineRule="auto"/>
              <w:textAlignment w:val="baseline"/>
              <w:rPr>
                <w:rFonts w:ascii="Times New Roman" w:eastAsia="Times New Roman" w:hAnsi="Times New Roman" w:cs="Times New Roman"/>
                <w:sz w:val="24"/>
                <w:szCs w:val="24"/>
                <w:lang w:val="en-US"/>
              </w:rPr>
            </w:pPr>
            <w:r w:rsidRPr="00B25371">
              <w:rPr>
                <w:rFonts w:eastAsia="Times New Roman"/>
                <w:lang w:val="en-US"/>
              </w:rPr>
              <w:t> </w:t>
            </w:r>
            <w:r w:rsidRPr="00B25371">
              <w:rPr>
                <w:rFonts w:eastAsia="Times New Roman"/>
                <w:lang w:val="en-US"/>
              </w:rPr>
              <w:br/>
            </w:r>
            <w:r w:rsidRPr="00B25371">
              <w:rPr>
                <w:rFonts w:eastAsia="Times New Roman"/>
                <w:b/>
                <w:bCs/>
                <w:lang w:val="en-US"/>
              </w:rPr>
              <w:t>Data</w:t>
            </w:r>
            <w:r w:rsidRPr="00B25371">
              <w:rPr>
                <w:rFonts w:eastAsia="Times New Roman"/>
                <w:lang w:val="en-US"/>
              </w:rPr>
              <w:t> </w:t>
            </w:r>
          </w:p>
        </w:tc>
        <w:tc>
          <w:tcPr>
            <w:tcW w:w="69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hideMark/>
          </w:tcPr>
          <w:p w14:paraId="664392FC" w14:textId="77777777" w:rsidR="000A4C32" w:rsidRPr="00B25371" w:rsidRDefault="000A4C32" w:rsidP="00E21CD5">
            <w:pPr>
              <w:spacing w:after="0" w:line="240" w:lineRule="auto"/>
              <w:textAlignment w:val="baseline"/>
              <w:rPr>
                <w:rFonts w:ascii="Times New Roman" w:eastAsia="Times New Roman" w:hAnsi="Times New Roman" w:cs="Times New Roman"/>
                <w:sz w:val="24"/>
                <w:szCs w:val="24"/>
                <w:lang w:val="en-US"/>
              </w:rPr>
            </w:pPr>
            <w:r w:rsidRPr="00B25371">
              <w:rPr>
                <w:rFonts w:eastAsia="Times New Roman"/>
                <w:lang w:val="en-US"/>
              </w:rPr>
              <w:t> </w:t>
            </w:r>
          </w:p>
          <w:p w14:paraId="496AAEBB" w14:textId="51CE85E1" w:rsidR="000A4C32" w:rsidRPr="00B25371" w:rsidRDefault="001F7F58" w:rsidP="00E21CD5">
            <w:pPr>
              <w:spacing w:after="0" w:line="240" w:lineRule="auto"/>
              <w:textAlignment w:val="baseline"/>
              <w:rPr>
                <w:rFonts w:ascii="Times New Roman" w:eastAsia="Times New Roman" w:hAnsi="Times New Roman" w:cs="Times New Roman"/>
                <w:sz w:val="24"/>
                <w:szCs w:val="24"/>
                <w:lang w:val="en-US"/>
              </w:rPr>
            </w:pPr>
            <w:r>
              <w:rPr>
                <w:rFonts w:eastAsia="Times New Roman"/>
                <w:lang w:val="en-US"/>
              </w:rPr>
              <w:t>08</w:t>
            </w:r>
            <w:r w:rsidR="000A4C32" w:rsidRPr="00B25371">
              <w:rPr>
                <w:rFonts w:eastAsia="Times New Roman"/>
                <w:lang w:val="en-US"/>
              </w:rPr>
              <w:t>.0</w:t>
            </w:r>
            <w:r w:rsidR="000A4C32">
              <w:rPr>
                <w:rFonts w:eastAsia="Times New Roman"/>
                <w:lang w:val="en-US"/>
              </w:rPr>
              <w:t>2</w:t>
            </w:r>
            <w:r w:rsidR="000A4C32" w:rsidRPr="00B25371">
              <w:rPr>
                <w:rFonts w:eastAsia="Times New Roman"/>
                <w:lang w:val="en-US"/>
              </w:rPr>
              <w:t>.2024 </w:t>
            </w:r>
          </w:p>
        </w:tc>
      </w:tr>
    </w:tbl>
    <w:p w14:paraId="40F799E4" w14:textId="77777777" w:rsidR="000A4C32" w:rsidRPr="00B25371" w:rsidRDefault="000A4C32" w:rsidP="000A4C32">
      <w:pPr>
        <w:spacing w:after="0" w:line="240" w:lineRule="auto"/>
        <w:jc w:val="center"/>
        <w:textAlignment w:val="baseline"/>
        <w:rPr>
          <w:rFonts w:ascii="Segoe UI" w:eastAsia="Times New Roman" w:hAnsi="Segoe UI" w:cs="Segoe UI"/>
          <w:sz w:val="18"/>
          <w:szCs w:val="18"/>
          <w:lang w:val="en-US"/>
        </w:rPr>
      </w:pPr>
      <w:r w:rsidRPr="00B25371">
        <w:rPr>
          <w:rFonts w:eastAsia="Times New Roman"/>
          <w:sz w:val="28"/>
          <w:szCs w:val="28"/>
          <w:lang w:val="en-US"/>
        </w:rPr>
        <w:t> </w:t>
      </w:r>
    </w:p>
    <w:p w14:paraId="75D78C67" w14:textId="77777777" w:rsidR="000A4C32" w:rsidRPr="00B25371" w:rsidRDefault="624C29F7" w:rsidP="000A4C32">
      <w:pPr>
        <w:spacing w:after="0" w:line="240" w:lineRule="auto"/>
        <w:jc w:val="center"/>
        <w:textAlignment w:val="baseline"/>
        <w:rPr>
          <w:rFonts w:ascii="Segoe UI" w:eastAsia="Times New Roman" w:hAnsi="Segoe UI" w:cs="Segoe UI"/>
          <w:sz w:val="18"/>
          <w:szCs w:val="18"/>
          <w:lang w:val="it-IT"/>
        </w:rPr>
      </w:pPr>
      <w:r w:rsidRPr="624C29F7">
        <w:rPr>
          <w:rFonts w:eastAsia="Times New Roman"/>
          <w:b/>
          <w:bCs/>
          <w:sz w:val="28"/>
          <w:szCs w:val="28"/>
          <w:lang w:val="it-IT"/>
        </w:rPr>
        <w:t>Rinnovabili (e non solo): i 5 trend dell’energia </w:t>
      </w:r>
      <w:r w:rsidRPr="624C29F7">
        <w:rPr>
          <w:rFonts w:eastAsia="Times New Roman"/>
          <w:sz w:val="28"/>
          <w:szCs w:val="28"/>
          <w:lang w:val="it-IT"/>
        </w:rPr>
        <w:t> </w:t>
      </w:r>
    </w:p>
    <w:p w14:paraId="47753C90" w14:textId="26EC26B5" w:rsidR="000A4C32" w:rsidRPr="00B25371" w:rsidRDefault="66F7311F" w:rsidP="66F7311F">
      <w:pPr>
        <w:spacing w:after="0" w:line="240" w:lineRule="auto"/>
        <w:jc w:val="center"/>
        <w:textAlignment w:val="baseline"/>
        <w:rPr>
          <w:rFonts w:ascii="Segoe UI" w:eastAsia="Times New Roman" w:hAnsi="Segoe UI" w:cs="Segoe UI"/>
          <w:sz w:val="18"/>
          <w:szCs w:val="18"/>
          <w:lang w:val="it-IT"/>
        </w:rPr>
      </w:pPr>
      <w:r w:rsidRPr="66F7311F">
        <w:rPr>
          <w:rFonts w:eastAsia="Times New Roman"/>
          <w:b/>
          <w:bCs/>
          <w:sz w:val="28"/>
          <w:szCs w:val="28"/>
          <w:lang w:val="it-IT"/>
        </w:rPr>
        <w:t>per il 2024 secondo Eaton</w:t>
      </w:r>
      <w:r w:rsidRPr="66F7311F">
        <w:rPr>
          <w:rFonts w:eastAsia="Times New Roman"/>
          <w:sz w:val="28"/>
          <w:szCs w:val="28"/>
          <w:lang w:val="it-IT"/>
        </w:rPr>
        <w:t> </w:t>
      </w:r>
    </w:p>
    <w:p w14:paraId="77A13FEB" w14:textId="6F5E4D2D" w:rsidR="000A4C32" w:rsidRPr="00B25371" w:rsidRDefault="000A4C32" w:rsidP="2BAA7A38">
      <w:pPr>
        <w:spacing w:after="0" w:line="240" w:lineRule="auto"/>
        <w:jc w:val="center"/>
        <w:textAlignment w:val="baseline"/>
        <w:rPr>
          <w:i/>
          <w:iCs/>
          <w:lang w:val="it-IT"/>
        </w:rPr>
      </w:pPr>
      <w:r>
        <w:br/>
      </w:r>
      <w:r w:rsidR="2BAA7A38" w:rsidRPr="2BAA7A38">
        <w:rPr>
          <w:i/>
          <w:iCs/>
          <w:lang w:val="it-IT"/>
        </w:rPr>
        <w:t xml:space="preserve">Nelle prime settimane del nuovo anno, con i prezzi dell'energia finalmente più stabili, </w:t>
      </w:r>
      <w:r>
        <w:br/>
      </w:r>
      <w:r w:rsidR="2BAA7A38" w:rsidRPr="2BAA7A38">
        <w:rPr>
          <w:i/>
          <w:iCs/>
          <w:lang w:val="it-IT"/>
        </w:rPr>
        <w:t xml:space="preserve">nel settore delle utilities l’attenzione si conferma sulla transizione </w:t>
      </w:r>
      <w:r w:rsidR="2BAA7A38" w:rsidRPr="2BAA7A38">
        <w:rPr>
          <w:rFonts w:eastAsia="Arial"/>
          <w:i/>
          <w:iCs/>
          <w:lang w:val="it-IT"/>
        </w:rPr>
        <w:t>verso un maggior utilizzo delle fonti rinnovabili</w:t>
      </w:r>
      <w:r w:rsidR="2BAA7A38" w:rsidRPr="2BAA7A38">
        <w:rPr>
          <w:rFonts w:eastAsia="Arial"/>
          <w:lang w:val="it-IT"/>
        </w:rPr>
        <w:t xml:space="preserve"> </w:t>
      </w:r>
      <w:r w:rsidR="2BAA7A38" w:rsidRPr="2BAA7A38">
        <w:rPr>
          <w:i/>
          <w:iCs/>
          <w:lang w:val="it-IT"/>
        </w:rPr>
        <w:t>e su come mantenere gli impegni di COP28</w:t>
      </w:r>
    </w:p>
    <w:p w14:paraId="688DECA5" w14:textId="2AAF4EE6" w:rsidR="66F7311F" w:rsidRDefault="66F7311F" w:rsidP="66F7311F">
      <w:pPr>
        <w:spacing w:after="0" w:line="240" w:lineRule="auto"/>
        <w:jc w:val="center"/>
        <w:rPr>
          <w:i/>
          <w:iCs/>
          <w:lang w:val="it-IT"/>
        </w:rPr>
      </w:pPr>
    </w:p>
    <w:p w14:paraId="001E11E3" w14:textId="77777777" w:rsidR="000A4C32" w:rsidRPr="00B25371" w:rsidRDefault="000A4C32" w:rsidP="000A4C32">
      <w:pPr>
        <w:spacing w:after="0" w:line="240" w:lineRule="auto"/>
        <w:jc w:val="center"/>
        <w:textAlignment w:val="baseline"/>
        <w:rPr>
          <w:lang w:val="it-IT"/>
        </w:rPr>
      </w:pPr>
    </w:p>
    <w:p w14:paraId="1CA0DA27" w14:textId="22B21388" w:rsidR="000A4C32" w:rsidRPr="00CD3F2F" w:rsidRDefault="000A4C32" w:rsidP="66F7311F">
      <w:pPr>
        <w:spacing w:line="360" w:lineRule="auto"/>
        <w:jc w:val="both"/>
        <w:rPr>
          <w:lang w:val="it-IT"/>
        </w:rPr>
      </w:pPr>
      <w:r w:rsidRPr="73212BE6">
        <w:rPr>
          <w:lang w:val="it-IT"/>
        </w:rPr>
        <w:t xml:space="preserve">La produzione di energia elettrica è la principale fonte di emissioni di anidride carbonica al mondo, come sottolinea anche l'Autorità Internazionale per l'Energia (AIE) nel suo nuovo report </w:t>
      </w:r>
      <w:hyperlink r:id="rId7">
        <w:r w:rsidRPr="73212BE6">
          <w:rPr>
            <w:rStyle w:val="Collegamentoipertestuale"/>
            <w:lang w:val="it-IT"/>
          </w:rPr>
          <w:t>Elettricità 2024</w:t>
        </w:r>
      </w:hyperlink>
      <w:r w:rsidRPr="73212BE6">
        <w:rPr>
          <w:lang w:val="it-IT"/>
        </w:rPr>
        <w:t xml:space="preserve">. Di conseguenza, il settore delle utilities può giocare un ruolo chiave nella riduzione delle emissioni di CO2 a livello globale, guidando la transizione energetica attraverso la crescente diffusione dell’utilizzo di energie rinnovabili. </w:t>
      </w:r>
      <w:r>
        <w:rPr>
          <w:lang w:val="it-IT"/>
        </w:rPr>
        <w:t xml:space="preserve">Con queste premesse, </w:t>
      </w:r>
      <w:hyperlink r:id="rId8" w:tgtFrame="_blank" w:history="1">
        <w:r w:rsidRPr="006A1776">
          <w:rPr>
            <w:rStyle w:val="Collegamentoipertestuale"/>
            <w:b/>
            <w:bCs/>
            <w:shd w:val="clear" w:color="auto" w:fill="FFFFFF"/>
            <w:lang w:val="it-IT"/>
          </w:rPr>
          <w:t>Eaton</w:t>
        </w:r>
      </w:hyperlink>
      <w:r>
        <w:rPr>
          <w:rStyle w:val="normaltextrun"/>
          <w:b/>
          <w:bCs/>
          <w:color w:val="000000"/>
          <w:shd w:val="clear" w:color="auto" w:fill="FFFFFF"/>
          <w:lang w:val="it-IT"/>
        </w:rPr>
        <w:t xml:space="preserve"> – azienda leader a livello globale nella gestione dell’energia, ha identificato i 5 trend che caratterizzeranno il settore </w:t>
      </w:r>
      <w:r w:rsidRPr="00AA5588">
        <w:rPr>
          <w:rStyle w:val="normaltextrun"/>
          <w:b/>
          <w:bCs/>
          <w:color w:val="000000"/>
          <w:shd w:val="clear" w:color="auto" w:fill="FFFFFF"/>
          <w:lang w:val="it-IT"/>
        </w:rPr>
        <w:t>energetico</w:t>
      </w:r>
      <w:r>
        <w:rPr>
          <w:rStyle w:val="normaltextrun"/>
          <w:b/>
          <w:bCs/>
          <w:color w:val="000000"/>
          <w:shd w:val="clear" w:color="auto" w:fill="FFFFFF"/>
          <w:lang w:val="it-IT"/>
        </w:rPr>
        <w:t xml:space="preserve"> nel 2024</w:t>
      </w:r>
      <w:r>
        <w:rPr>
          <w:lang w:val="it-IT"/>
        </w:rPr>
        <w:t>.</w:t>
      </w:r>
    </w:p>
    <w:p w14:paraId="61DDD5D8" w14:textId="77777777" w:rsidR="000A4C32" w:rsidRPr="005C1DBE" w:rsidRDefault="66F7311F" w:rsidP="66F7311F">
      <w:pPr>
        <w:pStyle w:val="Paragrafoelenco"/>
        <w:numPr>
          <w:ilvl w:val="0"/>
          <w:numId w:val="2"/>
        </w:numPr>
        <w:spacing w:line="360" w:lineRule="auto"/>
        <w:jc w:val="both"/>
        <w:rPr>
          <w:b/>
          <w:bCs/>
        </w:rPr>
      </w:pPr>
      <w:proofErr w:type="spellStart"/>
      <w:r w:rsidRPr="66F7311F">
        <w:rPr>
          <w:b/>
          <w:bCs/>
        </w:rPr>
        <w:t>Modernizzazione</w:t>
      </w:r>
      <w:proofErr w:type="spellEnd"/>
      <w:r w:rsidRPr="66F7311F">
        <w:rPr>
          <w:b/>
          <w:bCs/>
        </w:rPr>
        <w:t xml:space="preserve"> della </w:t>
      </w:r>
      <w:proofErr w:type="spellStart"/>
      <w:r w:rsidRPr="66F7311F">
        <w:rPr>
          <w:b/>
          <w:bCs/>
        </w:rPr>
        <w:t>rete</w:t>
      </w:r>
      <w:proofErr w:type="spellEnd"/>
    </w:p>
    <w:p w14:paraId="1CDBC2C0" w14:textId="2EA4A23E" w:rsidR="009028D9" w:rsidRDefault="2BAA7A38" w:rsidP="66F7311F">
      <w:pPr>
        <w:spacing w:line="360" w:lineRule="auto"/>
        <w:jc w:val="both"/>
        <w:rPr>
          <w:lang w:val="it-IT"/>
        </w:rPr>
      </w:pPr>
      <w:r w:rsidRPr="2BAA7A38">
        <w:rPr>
          <w:lang w:val="it-IT"/>
        </w:rPr>
        <w:t xml:space="preserve">La modernizzazione della rete è indubbiamente un tassello fondamentale del percorso verso nuovi modelli di sviluppo più sostenibile. Il </w:t>
      </w:r>
      <w:hyperlink r:id="rId9">
        <w:r w:rsidRPr="2BAA7A38">
          <w:rPr>
            <w:rStyle w:val="Collegamentoipertestuale"/>
            <w:lang w:val="it-IT"/>
          </w:rPr>
          <w:t>Piano d'Azione dell'UE per le Reti</w:t>
        </w:r>
      </w:hyperlink>
      <w:r w:rsidRPr="2BAA7A38">
        <w:rPr>
          <w:lang w:val="it-IT"/>
        </w:rPr>
        <w:t xml:space="preserve">, presentato a fine novembre 2023, mira ad affrontare le principali sfide legate all'espansione, alla digitalizzazione e a un migliore utilizzo delle reti di trasmissione e distribuzione dell'energia elettrica all’interno dell’Unione. </w:t>
      </w:r>
    </w:p>
    <w:p w14:paraId="3B99BDB1" w14:textId="5DCE0D01" w:rsidR="6F6D374A" w:rsidRDefault="6F6D374A" w:rsidP="6F6D374A">
      <w:pPr>
        <w:spacing w:line="360" w:lineRule="auto"/>
        <w:jc w:val="both"/>
        <w:rPr>
          <w:lang w:val="it-IT"/>
        </w:rPr>
      </w:pPr>
      <w:r w:rsidRPr="6F6D374A">
        <w:rPr>
          <w:lang w:val="it-IT"/>
        </w:rPr>
        <w:t xml:space="preserve">Perché è necessario? Il motivo è semplice: il consumo di elettricità aumenterà man mano che la società abbraccerà l'elettrificazione. Nell'UE si prevede una crescita attorno al 60% da qui al 2030 – e anche nei Paesi europei non appartenenti all'Unione le stime sono simili. Considerando che circa il 40% delle reti di distribuzione in Europa ha più di 40 anni, risulta chiara l’urgenza della modernizzazione, per consentire alla società di sfruttare al meglio tutta l'energia disponibile, attraverso un approccio che </w:t>
      </w:r>
      <w:r w:rsidR="0081392D">
        <w:rPr>
          <w:lang w:val="it-IT"/>
        </w:rPr>
        <w:t>permetta</w:t>
      </w:r>
      <w:r w:rsidR="0081392D" w:rsidRPr="6F6D374A">
        <w:rPr>
          <w:lang w:val="it-IT"/>
        </w:rPr>
        <w:t xml:space="preserve"> </w:t>
      </w:r>
      <w:r w:rsidRPr="6F6D374A">
        <w:rPr>
          <w:lang w:val="it-IT"/>
        </w:rPr>
        <w:t>a edifici e infrastrutture di generarla e immagazzinarla, diminuendo la dipendenza dalla rete.</w:t>
      </w:r>
    </w:p>
    <w:p w14:paraId="1661B93B" w14:textId="2717D6A0" w:rsidR="000A4C32" w:rsidRPr="009028D9" w:rsidRDefault="000A4C32" w:rsidP="2EDEE6E5">
      <w:pPr>
        <w:pStyle w:val="Paragrafoelenco"/>
        <w:numPr>
          <w:ilvl w:val="0"/>
          <w:numId w:val="2"/>
        </w:numPr>
        <w:spacing w:line="360" w:lineRule="auto"/>
        <w:rPr>
          <w:b/>
          <w:bCs/>
          <w:shd w:val="clear" w:color="auto" w:fill="FFFFFF"/>
        </w:rPr>
      </w:pPr>
      <w:proofErr w:type="spellStart"/>
      <w:r w:rsidRPr="2EDEE6E5">
        <w:rPr>
          <w:b/>
          <w:bCs/>
          <w:shd w:val="clear" w:color="auto" w:fill="FFFFFF"/>
        </w:rPr>
        <w:t>Attenzione</w:t>
      </w:r>
      <w:proofErr w:type="spellEnd"/>
      <w:r w:rsidRPr="2EDEE6E5">
        <w:rPr>
          <w:b/>
          <w:bCs/>
          <w:shd w:val="clear" w:color="auto" w:fill="FFFFFF"/>
        </w:rPr>
        <w:t xml:space="preserve"> </w:t>
      </w:r>
      <w:proofErr w:type="spellStart"/>
      <w:r w:rsidRPr="2EDEE6E5">
        <w:rPr>
          <w:b/>
          <w:bCs/>
          <w:shd w:val="clear" w:color="auto" w:fill="FFFFFF"/>
        </w:rPr>
        <w:t>alle</w:t>
      </w:r>
      <w:proofErr w:type="spellEnd"/>
      <w:r w:rsidRPr="2EDEE6E5">
        <w:rPr>
          <w:b/>
          <w:bCs/>
          <w:shd w:val="clear" w:color="auto" w:fill="FFFFFF"/>
        </w:rPr>
        <w:t xml:space="preserve"> </w:t>
      </w:r>
      <w:proofErr w:type="spellStart"/>
      <w:r w:rsidRPr="2EDEE6E5">
        <w:rPr>
          <w:b/>
          <w:bCs/>
          <w:shd w:val="clear" w:color="auto" w:fill="FFFFFF"/>
        </w:rPr>
        <w:t>energie</w:t>
      </w:r>
      <w:proofErr w:type="spellEnd"/>
      <w:r w:rsidRPr="2EDEE6E5">
        <w:rPr>
          <w:b/>
          <w:bCs/>
          <w:shd w:val="clear" w:color="auto" w:fill="FFFFFF"/>
        </w:rPr>
        <w:t xml:space="preserve"> </w:t>
      </w:r>
      <w:proofErr w:type="spellStart"/>
      <w:r w:rsidRPr="2EDEE6E5">
        <w:rPr>
          <w:b/>
          <w:bCs/>
          <w:shd w:val="clear" w:color="auto" w:fill="FFFFFF"/>
        </w:rPr>
        <w:t>rinnovabili</w:t>
      </w:r>
      <w:proofErr w:type="spellEnd"/>
    </w:p>
    <w:p w14:paraId="3E0BC647" w14:textId="142353B3" w:rsidR="000A4C32" w:rsidRPr="00664A11" w:rsidRDefault="000A4C32" w:rsidP="2EDEE6E5">
      <w:pPr>
        <w:spacing w:line="360" w:lineRule="auto"/>
        <w:jc w:val="both"/>
        <w:rPr>
          <w:rFonts w:eastAsia="Arial"/>
          <w:shd w:val="clear" w:color="auto" w:fill="FFFFFF"/>
          <w:lang w:val="it-IT"/>
        </w:rPr>
      </w:pPr>
      <w:r w:rsidRPr="2EDEE6E5">
        <w:rPr>
          <w:shd w:val="clear" w:color="auto" w:fill="FFFFFF"/>
          <w:lang w:val="it-IT"/>
        </w:rPr>
        <w:t>L’energia solare si conferma la fonte energetica più con</w:t>
      </w:r>
      <w:r w:rsidRPr="0081392D">
        <w:rPr>
          <w:shd w:val="clear" w:color="auto" w:fill="FFFFFF"/>
          <w:lang w:val="it-IT"/>
        </w:rPr>
        <w:t xml:space="preserve">veniente in termini di nuova capacità installata: si prevedono quindi investimenti strategici nel </w:t>
      </w:r>
      <w:hyperlink r:id="rId10" w:history="1">
        <w:r w:rsidRPr="0081392D">
          <w:rPr>
            <w:rStyle w:val="Collegamentoipertestuale"/>
            <w:lang w:val="it-IT"/>
          </w:rPr>
          <w:t>fotovoltaico su scala industriale</w:t>
        </w:r>
      </w:hyperlink>
      <w:r w:rsidRPr="0081392D">
        <w:rPr>
          <w:shd w:val="clear" w:color="auto" w:fill="FFFFFF"/>
          <w:lang w:val="it-IT"/>
        </w:rPr>
        <w:t>. L'installazione e la manutenzione possono essere impegnative, anche perché la connettività della rete, i requisiti di accumulo dell'energia e la necessità di misure di sicurezza informatica più affidabili rendono la gestione dei progetti sempre più complessa: superare queste sfide è però ne</w:t>
      </w:r>
      <w:r w:rsidRPr="2EDEE6E5">
        <w:rPr>
          <w:rFonts w:eastAsia="Arial"/>
          <w:shd w:val="clear" w:color="auto" w:fill="FFFFFF"/>
          <w:lang w:val="it-IT"/>
        </w:rPr>
        <w:t>cessario.</w:t>
      </w:r>
    </w:p>
    <w:p w14:paraId="64C27452" w14:textId="03EC43B0" w:rsidR="000A4C32" w:rsidRPr="00B23160" w:rsidRDefault="000A4C32" w:rsidP="2EDEE6E5">
      <w:pPr>
        <w:spacing w:line="360" w:lineRule="auto"/>
        <w:jc w:val="both"/>
        <w:rPr>
          <w:lang w:val="it-IT"/>
        </w:rPr>
      </w:pPr>
      <w:r w:rsidRPr="2EDEE6E5">
        <w:rPr>
          <w:shd w:val="clear" w:color="auto" w:fill="FFFFFF"/>
          <w:lang w:val="it-IT"/>
        </w:rPr>
        <w:t xml:space="preserve">L'aggiunta di nuova capacità richiede inoltre l'installazione di migliaia di </w:t>
      </w:r>
      <w:r w:rsidR="42129903" w:rsidRPr="2EDEE6E5">
        <w:rPr>
          <w:lang w:val="it-IT"/>
        </w:rPr>
        <w:t>unità</w:t>
      </w:r>
      <w:r w:rsidRPr="2EDEE6E5">
        <w:rPr>
          <w:shd w:val="clear" w:color="auto" w:fill="FFFFFF"/>
          <w:lang w:val="it-IT"/>
        </w:rPr>
        <w:t xml:space="preserve">, inverter e chilometri di cavi, in un momento storico in cui </w:t>
      </w:r>
      <w:r w:rsidR="42129903" w:rsidRPr="2EDEE6E5">
        <w:rPr>
          <w:lang w:val="it-IT"/>
        </w:rPr>
        <w:t>il personale qualificato scarseggia</w:t>
      </w:r>
      <w:r w:rsidRPr="2EDEE6E5">
        <w:rPr>
          <w:shd w:val="clear" w:color="auto" w:fill="FFFFFF"/>
          <w:lang w:val="it-IT"/>
        </w:rPr>
        <w:t xml:space="preserve">. Si tratta di un compito gravoso, </w:t>
      </w:r>
      <w:r w:rsidRPr="2EDEE6E5">
        <w:rPr>
          <w:shd w:val="clear" w:color="auto" w:fill="FFFFFF"/>
          <w:lang w:val="it-IT"/>
        </w:rPr>
        <w:lastRenderedPageBreak/>
        <w:t>che rende la riduzione dei costi e della complessità delle installazioni fotovoltaiche su larga scala una vera e propria priorità per il settore delle utilit</w:t>
      </w:r>
      <w:r w:rsidRPr="2EDEE6E5">
        <w:rPr>
          <w:lang w:val="it-IT"/>
        </w:rPr>
        <w:t>ies</w:t>
      </w:r>
      <w:r w:rsidRPr="2EDEE6E5">
        <w:rPr>
          <w:shd w:val="clear" w:color="auto" w:fill="FFFFFF"/>
          <w:lang w:val="it-IT"/>
        </w:rPr>
        <w:t>.</w:t>
      </w:r>
      <w:r w:rsidRPr="2EDEE6E5">
        <w:rPr>
          <w:lang w:val="it-IT"/>
        </w:rPr>
        <w:t xml:space="preserve"> In questo contesto si inserisce </w:t>
      </w:r>
      <w:r w:rsidRPr="2EDEE6E5">
        <w:rPr>
          <w:shd w:val="clear" w:color="auto" w:fill="FFFFFF"/>
          <w:lang w:val="it-IT"/>
        </w:rPr>
        <w:t>la</w:t>
      </w:r>
      <w:r w:rsidRPr="00212A0E">
        <w:rPr>
          <w:color w:val="333F48"/>
          <w:shd w:val="clear" w:color="auto" w:fill="FFFFFF"/>
          <w:lang w:val="it-IT"/>
        </w:rPr>
        <w:t xml:space="preserve"> </w:t>
      </w:r>
      <w:hyperlink r:id="rId11" w:history="1">
        <w:r>
          <w:rPr>
            <w:rStyle w:val="Collegamentoipertestuale"/>
            <w:shd w:val="clear" w:color="auto" w:fill="FFFFFF"/>
            <w:lang w:val="it-IT"/>
          </w:rPr>
          <w:t>S</w:t>
        </w:r>
        <w:r w:rsidRPr="00212A0E">
          <w:rPr>
            <w:rStyle w:val="Collegamentoipertestuale"/>
            <w:shd w:val="clear" w:color="auto" w:fill="FFFFFF"/>
            <w:lang w:val="it-IT"/>
          </w:rPr>
          <w:t>trategia dell'Unione Europea per l'</w:t>
        </w:r>
        <w:r>
          <w:rPr>
            <w:rStyle w:val="Collegamentoipertestuale"/>
            <w:shd w:val="clear" w:color="auto" w:fill="FFFFFF"/>
            <w:lang w:val="it-IT"/>
          </w:rPr>
          <w:t>E</w:t>
        </w:r>
        <w:r w:rsidRPr="00212A0E">
          <w:rPr>
            <w:rStyle w:val="Collegamentoipertestuale"/>
            <w:shd w:val="clear" w:color="auto" w:fill="FFFFFF"/>
            <w:lang w:val="it-IT"/>
          </w:rPr>
          <w:t xml:space="preserve">nergia </w:t>
        </w:r>
        <w:r>
          <w:rPr>
            <w:rStyle w:val="Collegamentoipertestuale"/>
            <w:shd w:val="clear" w:color="auto" w:fill="FFFFFF"/>
            <w:lang w:val="it-IT"/>
          </w:rPr>
          <w:t>S</w:t>
        </w:r>
        <w:r w:rsidRPr="00212A0E">
          <w:rPr>
            <w:rStyle w:val="Collegamentoipertestuale"/>
            <w:shd w:val="clear" w:color="auto" w:fill="FFFFFF"/>
            <w:lang w:val="it-IT"/>
          </w:rPr>
          <w:t>olare</w:t>
        </w:r>
      </w:hyperlink>
      <w:r w:rsidRPr="00212A0E">
        <w:rPr>
          <w:color w:val="333F48"/>
          <w:shd w:val="clear" w:color="auto" w:fill="FFFFFF"/>
          <w:lang w:val="it-IT"/>
        </w:rPr>
        <w:t>,</w:t>
      </w:r>
      <w:r w:rsidRPr="2EDEE6E5">
        <w:rPr>
          <w:shd w:val="clear" w:color="auto" w:fill="FFFFFF"/>
          <w:lang w:val="it-IT"/>
        </w:rPr>
        <w:t xml:space="preserve"> parte del piano </w:t>
      </w:r>
      <w:proofErr w:type="spellStart"/>
      <w:r w:rsidRPr="2EDEE6E5">
        <w:rPr>
          <w:shd w:val="clear" w:color="auto" w:fill="FFFFFF"/>
          <w:lang w:val="it-IT"/>
        </w:rPr>
        <w:t>REPowerEU</w:t>
      </w:r>
      <w:proofErr w:type="spellEnd"/>
      <w:r w:rsidRPr="2EDEE6E5">
        <w:rPr>
          <w:shd w:val="clear" w:color="auto" w:fill="FFFFFF"/>
          <w:lang w:val="it-IT"/>
        </w:rPr>
        <w:t xml:space="preserve"> per ridurre la dipendenza dell’UE da petrolio e gas</w:t>
      </w:r>
      <w:r w:rsidR="42129903" w:rsidRPr="2EDEE6E5">
        <w:rPr>
          <w:lang w:val="it-IT"/>
        </w:rPr>
        <w:t>, mirando</w:t>
      </w:r>
      <w:r w:rsidRPr="2EDEE6E5">
        <w:rPr>
          <w:shd w:val="clear" w:color="auto" w:fill="FFFFFF"/>
          <w:lang w:val="it-IT"/>
        </w:rPr>
        <w:t xml:space="preserve"> accelerare la diffusione dell’energia solare, sia negli edifici commerciali che residenziali.</w:t>
      </w:r>
    </w:p>
    <w:p w14:paraId="12F56886" w14:textId="7336B773" w:rsidR="000A4C32" w:rsidRPr="009028D9" w:rsidRDefault="2BAA7A38" w:rsidP="66F7311F">
      <w:pPr>
        <w:pStyle w:val="Paragrafoelenco"/>
        <w:numPr>
          <w:ilvl w:val="0"/>
          <w:numId w:val="2"/>
        </w:numPr>
        <w:spacing w:line="360" w:lineRule="auto"/>
        <w:jc w:val="both"/>
        <w:rPr>
          <w:b/>
          <w:bCs/>
          <w:lang w:val="it-IT"/>
        </w:rPr>
      </w:pPr>
      <w:r w:rsidRPr="2BAA7A38">
        <w:rPr>
          <w:b/>
          <w:bCs/>
          <w:lang w:val="it-IT"/>
        </w:rPr>
        <w:t>Quadri elettrici privi di gas SF6</w:t>
      </w:r>
    </w:p>
    <w:p w14:paraId="6BB7A462" w14:textId="23CB8DDF" w:rsidR="000A4C32" w:rsidRPr="00212A0E" w:rsidRDefault="2BAA7A38" w:rsidP="2EDEE6E5">
      <w:pPr>
        <w:spacing w:line="360" w:lineRule="auto"/>
        <w:jc w:val="both"/>
        <w:rPr>
          <w:lang w:val="it-IT"/>
        </w:rPr>
      </w:pPr>
      <w:r w:rsidRPr="2BAA7A38">
        <w:rPr>
          <w:lang w:val="it-IT"/>
        </w:rPr>
        <w:t xml:space="preserve">Il settore elettrico si trova a dover fare i conti con i cambiamenti normativi previsti per il 2024 nell’UE e, in particolare, con gli effetti dell’imminente divieto di utilizzo del gas SF6 nei quadri elettrici. L’esafluoruro di zolfo è un gas serra sintetico estremamente potente che permane per migliaia di anni nell'atmosfera e, poiché </w:t>
      </w:r>
      <w:r w:rsidRPr="2BAA7A38">
        <w:rPr>
          <w:rFonts w:eastAsia="Arial"/>
          <w:lang w:val="it-IT"/>
        </w:rPr>
        <w:t>l’impiego di</w:t>
      </w:r>
      <w:r w:rsidRPr="2BAA7A38">
        <w:rPr>
          <w:lang w:val="it-IT"/>
        </w:rPr>
        <w:t xml:space="preserve"> 1 kg di SF6 equivale all'emissione di 25.200 kg di CO2, la sua eliminazione rappresenta un importante obiettivo ambientale.</w:t>
      </w:r>
    </w:p>
    <w:p w14:paraId="127DF2C3" w14:textId="3E41A30A" w:rsidR="000A4C32" w:rsidRPr="00D92C1F" w:rsidRDefault="2BAA7A38" w:rsidP="66F7311F">
      <w:pPr>
        <w:spacing w:line="360" w:lineRule="auto"/>
        <w:jc w:val="both"/>
        <w:rPr>
          <w:lang w:val="it-IT"/>
        </w:rPr>
      </w:pPr>
      <w:r w:rsidRPr="2BAA7A38">
        <w:rPr>
          <w:lang w:val="it-IT"/>
        </w:rPr>
        <w:t xml:space="preserve">Già a fine 2023, il Consiglio e il Parlamento europeo hanno raggiunto un accordo provvisorio per vietare l'uso di quadri elettrici di media tensione che utilizzano l'SF6, attraverso un'eliminazione graduale che inizierà nel 2026. A tale accordo seguiranno ulteriori interventi normativi dell'UE, allo scopo di mettere al bando l'SF6 anche in altre categorie di commutatori. Del resto, al momento, sono già disponibili sul mercato </w:t>
      </w:r>
      <w:hyperlink r:id="rId12">
        <w:r w:rsidRPr="2BAA7A38">
          <w:rPr>
            <w:rStyle w:val="Collegamentoipertestuale"/>
            <w:lang w:val="it-IT"/>
          </w:rPr>
          <w:t>alternative collaudate</w:t>
        </w:r>
      </w:hyperlink>
      <w:r w:rsidRPr="2BAA7A38">
        <w:rPr>
          <w:lang w:val="it-IT"/>
        </w:rPr>
        <w:t>, in particolare nella categoria di media tensione fino a 24kV compresi, la fascia di quadri più utilizzata. Lo scenario si sta quindi evolvendo rapidamente ed è importante per le aziende conformarsi alla normativa il prima possibile.</w:t>
      </w:r>
    </w:p>
    <w:p w14:paraId="04D6E335" w14:textId="52177076" w:rsidR="000A4C32" w:rsidRPr="00212A0E" w:rsidRDefault="2BAA7A38" w:rsidP="000A4C32">
      <w:pPr>
        <w:pStyle w:val="Paragrafoelenco"/>
        <w:numPr>
          <w:ilvl w:val="0"/>
          <w:numId w:val="2"/>
        </w:numPr>
        <w:spacing w:line="360" w:lineRule="auto"/>
        <w:rPr>
          <w:b/>
          <w:bCs/>
        </w:rPr>
      </w:pPr>
      <w:proofErr w:type="spellStart"/>
      <w:r w:rsidRPr="2BAA7A38">
        <w:rPr>
          <w:b/>
          <w:bCs/>
        </w:rPr>
        <w:t>Digitalizzazione</w:t>
      </w:r>
      <w:proofErr w:type="spellEnd"/>
      <w:r w:rsidRPr="2BAA7A38">
        <w:rPr>
          <w:b/>
          <w:bCs/>
        </w:rPr>
        <w:t xml:space="preserve"> e </w:t>
      </w:r>
      <w:proofErr w:type="spellStart"/>
      <w:r w:rsidRPr="2BAA7A38">
        <w:rPr>
          <w:b/>
          <w:bCs/>
        </w:rPr>
        <w:t>Intelligenza</w:t>
      </w:r>
      <w:proofErr w:type="spellEnd"/>
      <w:r w:rsidRPr="2BAA7A38">
        <w:rPr>
          <w:b/>
          <w:bCs/>
        </w:rPr>
        <w:t xml:space="preserve"> </w:t>
      </w:r>
      <w:proofErr w:type="spellStart"/>
      <w:r w:rsidRPr="2BAA7A38">
        <w:rPr>
          <w:b/>
          <w:bCs/>
        </w:rPr>
        <w:t>Artificiale</w:t>
      </w:r>
      <w:proofErr w:type="spellEnd"/>
    </w:p>
    <w:p w14:paraId="42D71CDB" w14:textId="608BDF48" w:rsidR="000A4C32" w:rsidRPr="00212A0E" w:rsidRDefault="66F7311F" w:rsidP="66F7311F">
      <w:pPr>
        <w:spacing w:line="360" w:lineRule="auto"/>
        <w:jc w:val="both"/>
        <w:rPr>
          <w:highlight w:val="yellow"/>
          <w:lang w:val="it-IT"/>
        </w:rPr>
      </w:pPr>
      <w:r w:rsidRPr="66F7311F">
        <w:rPr>
          <w:lang w:val="it-IT"/>
        </w:rPr>
        <w:t>La transizione energetica è ampiamente coadiuvata dalla digitalizzazione, e nell'ultimo anno tutti i settori hanno provato a esplorare il potenziale dell'IA generativa in più contesti: nell’ambito delle utilities, potrà senza dubbio contribuire alla scoperta di nuove modalità di integrazione e gestione delle energie rinnovabili.</w:t>
      </w:r>
    </w:p>
    <w:p w14:paraId="517AC4AA" w14:textId="0D4609FA" w:rsidR="000A4C32" w:rsidRDefault="66F7311F" w:rsidP="66F7311F">
      <w:pPr>
        <w:spacing w:line="360" w:lineRule="auto"/>
        <w:jc w:val="both"/>
        <w:rPr>
          <w:b/>
          <w:bCs/>
          <w:highlight w:val="yellow"/>
          <w:lang w:val="it-IT"/>
        </w:rPr>
      </w:pPr>
      <w:r w:rsidRPr="66F7311F">
        <w:rPr>
          <w:lang w:val="it-IT"/>
        </w:rPr>
        <w:t>L'IA generativa supporta il processo decisionale selezionando e analizzando velocemente un’enorme quantità</w:t>
      </w:r>
      <w:r w:rsidR="00BA2FCC">
        <w:rPr>
          <w:lang w:val="it-IT"/>
        </w:rPr>
        <w:t xml:space="preserve"> di</w:t>
      </w:r>
      <w:r w:rsidRPr="66F7311F">
        <w:rPr>
          <w:lang w:val="it-IT"/>
        </w:rPr>
        <w:t xml:space="preserve"> informazioni: il potenziale è ampissimo, soprattutto se utilizzata a scopo previsionale, per capire dove e quando sarà necessaria l'energia e come fornirla in modo rapido ed efficiente all'interno di un sistema decentralizzato. Date queste premesse, nel corso del 2024 sarà fondamentale seguire gli sviluppi dell'IA, guardando con attenzione alla cybersecurity e a due regolamentazioni comunitarie: l'</w:t>
      </w:r>
      <w:hyperlink r:id="rId13">
        <w:r w:rsidRPr="66F7311F">
          <w:rPr>
            <w:rStyle w:val="Collegamentoipertestuale"/>
            <w:lang w:val="it-IT"/>
          </w:rPr>
          <w:t>AI Act</w:t>
        </w:r>
      </w:hyperlink>
      <w:r w:rsidRPr="66F7311F">
        <w:rPr>
          <w:lang w:val="it-IT"/>
        </w:rPr>
        <w:t xml:space="preserve"> e l’</w:t>
      </w:r>
      <w:hyperlink r:id="rId14">
        <w:r w:rsidRPr="66F7311F">
          <w:rPr>
            <w:rStyle w:val="Collegamentoipertestuale"/>
            <w:lang w:val="it-IT"/>
          </w:rPr>
          <w:t>UE Data Act</w:t>
        </w:r>
      </w:hyperlink>
      <w:r w:rsidRPr="66F7311F">
        <w:rPr>
          <w:lang w:val="it-IT"/>
        </w:rPr>
        <w:t>.</w:t>
      </w:r>
    </w:p>
    <w:p w14:paraId="6DD7960E" w14:textId="67064570" w:rsidR="000A4C32" w:rsidRDefault="42129903" w:rsidP="000A4C32">
      <w:pPr>
        <w:pStyle w:val="Paragrafoelenco"/>
        <w:numPr>
          <w:ilvl w:val="0"/>
          <w:numId w:val="2"/>
        </w:numPr>
        <w:spacing w:line="360" w:lineRule="auto"/>
        <w:jc w:val="both"/>
        <w:rPr>
          <w:b/>
          <w:bCs/>
        </w:rPr>
      </w:pPr>
      <w:r w:rsidRPr="42129903">
        <w:rPr>
          <w:b/>
          <w:bCs/>
        </w:rPr>
        <w:t xml:space="preserve">La </w:t>
      </w:r>
      <w:proofErr w:type="spellStart"/>
      <w:r w:rsidRPr="42129903">
        <w:rPr>
          <w:b/>
          <w:bCs/>
        </w:rPr>
        <w:t>spinta</w:t>
      </w:r>
      <w:proofErr w:type="spellEnd"/>
      <w:r w:rsidRPr="42129903">
        <w:rPr>
          <w:b/>
          <w:bCs/>
        </w:rPr>
        <w:t xml:space="preserve"> </w:t>
      </w:r>
      <w:proofErr w:type="spellStart"/>
      <w:r w:rsidRPr="42129903">
        <w:rPr>
          <w:b/>
          <w:bCs/>
        </w:rPr>
        <w:t>dell’innovazione</w:t>
      </w:r>
      <w:proofErr w:type="spellEnd"/>
    </w:p>
    <w:p w14:paraId="02A4914C" w14:textId="598331C0" w:rsidR="000A4C32" w:rsidRDefault="42129903" w:rsidP="42129903">
      <w:pPr>
        <w:spacing w:line="360" w:lineRule="auto"/>
        <w:jc w:val="both"/>
        <w:rPr>
          <w:lang w:val="it-IT"/>
        </w:rPr>
      </w:pPr>
      <w:r w:rsidRPr="42129903">
        <w:rPr>
          <w:lang w:val="it-IT"/>
        </w:rPr>
        <w:t>Cogliere le nuove opportunità e adattarsi a un panorama normativo in rapida evoluzione sarà sempre più cruciale, nel 2024. La capacità di svolgere il proprio ruolo nella transizione energetica e di plasmare un futuro sostenibile e resiliente dipenderà dalla velocità e dalla flessibilità con cui i player del settore faranno ricorso a fonti rinnovabili, alternative ai combustibili fossili.</w:t>
      </w:r>
    </w:p>
    <w:p w14:paraId="7E66CDF9" w14:textId="2F2D4A91" w:rsidR="000A4C32" w:rsidRDefault="2BAA7A38" w:rsidP="000A4C32">
      <w:pPr>
        <w:spacing w:line="360" w:lineRule="auto"/>
        <w:jc w:val="both"/>
        <w:rPr>
          <w:lang w:val="it-IT"/>
        </w:rPr>
      </w:pPr>
      <w:r w:rsidRPr="2BAA7A38">
        <w:rPr>
          <w:lang w:val="it-IT"/>
        </w:rPr>
        <w:t xml:space="preserve">E che fine faranno le promesse fatte alla COP28?  </w:t>
      </w:r>
      <w:r w:rsidRPr="2BAA7A38">
        <w:rPr>
          <w:i/>
          <w:iCs/>
          <w:lang w:val="it-IT"/>
        </w:rPr>
        <w:t xml:space="preserve">“Diversi dei punti toccati durante la conferenza avranno un impatto sul settore delle utilities, ma se dovessimo sceglierne solo una, sarebbe </w:t>
      </w:r>
      <w:hyperlink r:id="rId15">
        <w:r w:rsidRPr="2BAA7A38">
          <w:rPr>
            <w:rStyle w:val="Collegamentoipertestuale"/>
            <w:i/>
            <w:iCs/>
            <w:lang w:val="it-IT"/>
          </w:rPr>
          <w:t>l'Impegno Globale per le Energie Rinnovabili e l'Efficienza Energetica</w:t>
        </w:r>
      </w:hyperlink>
      <w:r w:rsidRPr="2BAA7A38">
        <w:rPr>
          <w:i/>
          <w:iCs/>
          <w:lang w:val="it-IT"/>
        </w:rPr>
        <w:t xml:space="preserve">, che prevede di triplicarne l'utilizzo entro il 2030. Infatti, sarà proprio questo obiettivo a mettere la transizione energetica al centro dello sviluppo e </w:t>
      </w:r>
      <w:r w:rsidRPr="2BAA7A38">
        <w:rPr>
          <w:i/>
          <w:iCs/>
          <w:lang w:val="it-IT"/>
        </w:rPr>
        <w:lastRenderedPageBreak/>
        <w:t>dell'attuazione delle strategie dei mesi a venire”,</w:t>
      </w:r>
      <w:r w:rsidRPr="2BAA7A38">
        <w:rPr>
          <w:lang w:val="it-IT"/>
        </w:rPr>
        <w:t xml:space="preserve"> </w:t>
      </w:r>
      <w:r w:rsidRPr="2BAA7A38">
        <w:rPr>
          <w:rFonts w:eastAsia="Arial"/>
          <w:color w:val="000000" w:themeColor="text1"/>
          <w:lang w:val="it"/>
        </w:rPr>
        <w:t>ha dichiarato</w:t>
      </w:r>
      <w:r w:rsidRPr="2BAA7A38">
        <w:rPr>
          <w:rFonts w:eastAsia="Arial"/>
          <w:b/>
          <w:bCs/>
          <w:color w:val="000000" w:themeColor="text1"/>
          <w:lang w:val="it"/>
        </w:rPr>
        <w:t xml:space="preserve"> </w:t>
      </w:r>
      <w:r w:rsidRPr="2BAA7A38">
        <w:rPr>
          <w:rFonts w:eastAsia="Arial"/>
          <w:b/>
          <w:bCs/>
          <w:color w:val="000000" w:themeColor="text1"/>
          <w:lang w:val="it-IT"/>
        </w:rPr>
        <w:t>Paolo Tagliabue, Product Marketing Manager Divisione Energy Storage di Eaton Italia</w:t>
      </w:r>
      <w:r w:rsidRPr="2BAA7A38">
        <w:rPr>
          <w:rFonts w:eastAsia="Arial"/>
          <w:color w:val="000000" w:themeColor="text1"/>
          <w:lang w:val="it-IT"/>
        </w:rPr>
        <w:t>.</w:t>
      </w:r>
      <w:r w:rsidRPr="2BAA7A38">
        <w:rPr>
          <w:rFonts w:ascii="Verdana" w:eastAsia="Verdana" w:hAnsi="Verdana" w:cs="Verdana"/>
          <w:b/>
          <w:bCs/>
          <w:color w:val="000000" w:themeColor="text1"/>
        </w:rPr>
        <w:t xml:space="preserve"> </w:t>
      </w:r>
      <w:r w:rsidRPr="2BAA7A38">
        <w:rPr>
          <w:rFonts w:eastAsia="Arial"/>
          <w:color w:val="000000" w:themeColor="text1"/>
          <w:lang w:val="it-IT"/>
        </w:rPr>
        <w:t> </w:t>
      </w:r>
    </w:p>
    <w:p w14:paraId="48F8C098" w14:textId="77777777" w:rsidR="000A4C32" w:rsidRDefault="000A4C32" w:rsidP="000A4C32">
      <w:pPr>
        <w:spacing w:line="360" w:lineRule="auto"/>
        <w:jc w:val="both"/>
        <w:rPr>
          <w:lang w:val="it-IT"/>
        </w:rPr>
      </w:pPr>
    </w:p>
    <w:p w14:paraId="0A0170CC" w14:textId="77777777" w:rsidR="000A4C32" w:rsidRPr="007C392D" w:rsidRDefault="000A4C32" w:rsidP="000A4C32">
      <w:pPr>
        <w:spacing w:line="360" w:lineRule="auto"/>
        <w:jc w:val="both"/>
        <w:rPr>
          <w:lang w:val="it-IT"/>
        </w:rPr>
      </w:pPr>
      <w:r>
        <w:rPr>
          <w:rStyle w:val="normaltextrun"/>
          <w:b/>
          <w:bCs/>
          <w:i/>
          <w:iCs/>
          <w:sz w:val="18"/>
          <w:szCs w:val="18"/>
          <w:lang w:val="it-IT"/>
        </w:rPr>
        <w:t>Informazioni su Eaton </w:t>
      </w:r>
      <w:r>
        <w:rPr>
          <w:rStyle w:val="normaltextrun"/>
          <w:sz w:val="18"/>
          <w:szCs w:val="18"/>
          <w:lang w:val="it-IT"/>
        </w:rPr>
        <w:t> </w:t>
      </w:r>
      <w:r w:rsidRPr="00B25371">
        <w:rPr>
          <w:rStyle w:val="eop"/>
          <w:sz w:val="18"/>
          <w:szCs w:val="18"/>
          <w:lang w:val="it-IT"/>
        </w:rPr>
        <w:t> </w:t>
      </w:r>
    </w:p>
    <w:p w14:paraId="7450F2F6" w14:textId="77777777" w:rsidR="000A4C32" w:rsidRPr="00B25371" w:rsidRDefault="000A4C32" w:rsidP="000A4C32">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sz w:val="18"/>
          <w:szCs w:val="18"/>
          <w:lang w:val="it-IT"/>
        </w:rPr>
        <w:t>Eaton è un’azienda specializzata nella gestione intelligente dell’energia, impegnata a migliorare la qualità della vita e a proteggere l'ambiente. Ci impegniamo a fare impresa in modo etico e ad agire in modo sostenibile per aiutare i nostri clienti nella gestione dell’energia, oggi e nel futuro.   </w:t>
      </w:r>
      <w:r w:rsidRPr="00B25371">
        <w:rPr>
          <w:rStyle w:val="eop"/>
          <w:sz w:val="18"/>
          <w:szCs w:val="18"/>
          <w:lang w:val="it-IT"/>
        </w:rPr>
        <w:t> </w:t>
      </w:r>
    </w:p>
    <w:p w14:paraId="6085B1B0" w14:textId="77777777" w:rsidR="000A4C32" w:rsidRPr="00B25371" w:rsidRDefault="000A4C32" w:rsidP="000A4C32">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sz w:val="18"/>
          <w:szCs w:val="18"/>
          <w:lang w:val="it-IT"/>
        </w:rPr>
        <w:t>Valorizzando i principali trend di sviluppo globale dell’elettrificazione e della digitalizzazione, acceleriamo la transizione del pianeta verso le energie rinnovabili, contribuendo a risolvere le più urgenti sfide di gestione energetica, con l’obiettivo di ottenere il meglio per i nostri stakeholder e per la società.  </w:t>
      </w:r>
      <w:r w:rsidRPr="00B25371">
        <w:rPr>
          <w:rStyle w:val="eop"/>
          <w:sz w:val="18"/>
          <w:szCs w:val="18"/>
          <w:lang w:val="it-IT"/>
        </w:rPr>
        <w:t> </w:t>
      </w:r>
    </w:p>
    <w:p w14:paraId="03FEA38E" w14:textId="77777777" w:rsidR="000A4C32" w:rsidRPr="00B25371" w:rsidRDefault="000A4C32" w:rsidP="000A4C32">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sz w:val="18"/>
          <w:szCs w:val="18"/>
          <w:lang w:val="it-IT"/>
        </w:rPr>
        <w:t xml:space="preserve">Fondata nel 1911, Eaton festeggia il suo centesimo anniversario di quotazione alla Borsa di New York. Abbiamo registrato un fatturato di 20,8 miliardi di dollari nel 2022 e serviamo clienti in più di 170 Paesi. Per ulteriori informazioni visitare il sito </w:t>
      </w:r>
      <w:hyperlink r:id="rId16" w:tgtFrame="_blank" w:history="1">
        <w:r>
          <w:rPr>
            <w:rStyle w:val="normaltextrun"/>
            <w:rFonts w:ascii="Arial" w:hAnsi="Arial" w:cs="Arial"/>
            <w:color w:val="0000FF"/>
            <w:sz w:val="18"/>
            <w:szCs w:val="18"/>
            <w:lang w:val="it-IT"/>
          </w:rPr>
          <w:t>www.eaton.com</w:t>
        </w:r>
      </w:hyperlink>
      <w:r>
        <w:rPr>
          <w:rStyle w:val="normaltextrun"/>
          <w:rFonts w:ascii="Arial" w:hAnsi="Arial" w:cs="Arial"/>
          <w:sz w:val="18"/>
          <w:szCs w:val="18"/>
          <w:lang w:val="it-IT"/>
        </w:rPr>
        <w:t xml:space="preserve">. Seguici su </w:t>
      </w:r>
      <w:hyperlink r:id="rId17" w:tgtFrame="_blank" w:history="1">
        <w:r>
          <w:rPr>
            <w:rStyle w:val="normaltextrun"/>
            <w:rFonts w:ascii="Arial" w:hAnsi="Arial" w:cs="Arial"/>
            <w:color w:val="0000FF"/>
            <w:sz w:val="18"/>
            <w:szCs w:val="18"/>
            <w:lang w:val="it-IT"/>
          </w:rPr>
          <w:t>Twitter</w:t>
        </w:r>
      </w:hyperlink>
      <w:r>
        <w:rPr>
          <w:rStyle w:val="normaltextrun"/>
          <w:rFonts w:ascii="Arial" w:hAnsi="Arial" w:cs="Arial"/>
          <w:sz w:val="18"/>
          <w:szCs w:val="18"/>
          <w:lang w:val="it-IT"/>
        </w:rPr>
        <w:t xml:space="preserve"> e </w:t>
      </w:r>
      <w:hyperlink r:id="rId18" w:tgtFrame="_blank" w:history="1">
        <w:r>
          <w:rPr>
            <w:rStyle w:val="normaltextrun"/>
            <w:rFonts w:ascii="Arial" w:hAnsi="Arial" w:cs="Arial"/>
            <w:color w:val="0000FF"/>
            <w:sz w:val="18"/>
            <w:szCs w:val="18"/>
            <w:lang w:val="it-IT"/>
          </w:rPr>
          <w:t>LinkedIn</w:t>
        </w:r>
      </w:hyperlink>
      <w:r>
        <w:rPr>
          <w:rStyle w:val="normaltextrun"/>
          <w:rFonts w:ascii="Arial" w:hAnsi="Arial" w:cs="Arial"/>
          <w:sz w:val="18"/>
          <w:szCs w:val="18"/>
          <w:lang w:val="it-IT"/>
        </w:rPr>
        <w:t>.  </w:t>
      </w:r>
      <w:r w:rsidRPr="00B25371">
        <w:rPr>
          <w:rStyle w:val="eop"/>
          <w:sz w:val="18"/>
          <w:szCs w:val="18"/>
          <w:lang w:val="it-IT"/>
        </w:rPr>
        <w:t> </w:t>
      </w:r>
    </w:p>
    <w:p w14:paraId="5AD5204D" w14:textId="77777777" w:rsidR="000A4C32" w:rsidRPr="00B25371" w:rsidRDefault="000A4C32" w:rsidP="000A4C32">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sz w:val="18"/>
          <w:szCs w:val="18"/>
          <w:lang w:val="it-IT"/>
        </w:rPr>
        <w:t> </w:t>
      </w:r>
      <w:r w:rsidRPr="00B25371">
        <w:rPr>
          <w:rStyle w:val="eop"/>
          <w:sz w:val="18"/>
          <w:szCs w:val="18"/>
          <w:lang w:val="it-IT"/>
        </w:rPr>
        <w:t> </w:t>
      </w:r>
    </w:p>
    <w:p w14:paraId="3D452023" w14:textId="77777777" w:rsidR="000A4C32" w:rsidRPr="00B25371" w:rsidRDefault="000A4C32" w:rsidP="000A4C32">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sz w:val="18"/>
          <w:szCs w:val="18"/>
          <w:lang w:val="it-IT"/>
        </w:rPr>
        <w:t> </w:t>
      </w:r>
      <w:r w:rsidRPr="00B25371">
        <w:rPr>
          <w:rStyle w:val="eop"/>
          <w:sz w:val="18"/>
          <w:szCs w:val="18"/>
          <w:lang w:val="it-IT"/>
        </w:rPr>
        <w:t> </w:t>
      </w:r>
    </w:p>
    <w:p w14:paraId="1FEEA35A" w14:textId="77777777" w:rsidR="000A4C32" w:rsidRPr="00B25371" w:rsidRDefault="420F0C33" w:rsidP="420F0C33">
      <w:pPr>
        <w:rPr>
          <w:lang w:val="it-IT"/>
        </w:rPr>
      </w:pPr>
      <w:r w:rsidRPr="420F0C33">
        <w:rPr>
          <w:lang w:val="it-IT"/>
        </w:rPr>
        <w:t>Contatti stampa:  </w:t>
      </w:r>
    </w:p>
    <w:p w14:paraId="20FD75DC" w14:textId="77777777" w:rsidR="000A4C32" w:rsidRPr="00B25371" w:rsidRDefault="420F0C33" w:rsidP="420F0C33">
      <w:pPr>
        <w:rPr>
          <w:lang w:val="it-IT"/>
        </w:rPr>
      </w:pPr>
      <w:r w:rsidRPr="420F0C33">
        <w:rPr>
          <w:lang w:val="it-IT"/>
        </w:rPr>
        <w:t>Hotwire  </w:t>
      </w:r>
    </w:p>
    <w:p w14:paraId="369F3B4F" w14:textId="77777777" w:rsidR="000A4C32" w:rsidRPr="00B25371" w:rsidRDefault="420F0C33" w:rsidP="420F0C33">
      <w:pPr>
        <w:rPr>
          <w:lang w:val="it-IT"/>
        </w:rPr>
      </w:pPr>
      <w:r w:rsidRPr="420F0C33">
        <w:rPr>
          <w:lang w:val="it-IT"/>
        </w:rPr>
        <w:t>Elisa Bortolozzo  </w:t>
      </w:r>
    </w:p>
    <w:p w14:paraId="15B31CFE" w14:textId="77777777" w:rsidR="000A4C32" w:rsidRPr="001F7F58" w:rsidRDefault="420F0C33" w:rsidP="420F0C33">
      <w:pPr>
        <w:rPr>
          <w:lang w:val="de-AT"/>
        </w:rPr>
      </w:pPr>
      <w:r w:rsidRPr="001F7F58">
        <w:rPr>
          <w:lang w:val="de-AT"/>
        </w:rPr>
        <w:t>E: EatonIT@hotwireglobal.com | T: 0039 348 634395  </w:t>
      </w:r>
    </w:p>
    <w:p w14:paraId="5828CF7A" w14:textId="77777777" w:rsidR="007563DA" w:rsidRPr="001F7F58" w:rsidRDefault="007563DA" w:rsidP="000A4C32">
      <w:pPr>
        <w:rPr>
          <w:lang w:val="de-AT"/>
        </w:rPr>
      </w:pPr>
    </w:p>
    <w:p w14:paraId="21F600D9" w14:textId="515D203C" w:rsidR="420F0C33" w:rsidRDefault="420F0C33" w:rsidP="420F0C33">
      <w:pPr>
        <w:rPr>
          <w:lang w:val="it-IT"/>
        </w:rPr>
      </w:pPr>
      <w:r w:rsidRPr="420F0C33">
        <w:rPr>
          <w:lang w:val="it-IT"/>
        </w:rPr>
        <w:t>Eaton</w:t>
      </w:r>
    </w:p>
    <w:p w14:paraId="7BE76B4A" w14:textId="769065CF" w:rsidR="420F0C33" w:rsidRDefault="420F0C33" w:rsidP="420F0C33">
      <w:r w:rsidRPr="420F0C33">
        <w:rPr>
          <w:lang w:val="it-IT"/>
        </w:rPr>
        <w:t>Luca Sarubbi</w:t>
      </w:r>
    </w:p>
    <w:p w14:paraId="103545F4" w14:textId="20315037" w:rsidR="420F0C33" w:rsidRDefault="420F0C33" w:rsidP="420F0C33">
      <w:r w:rsidRPr="420F0C33">
        <w:rPr>
          <w:lang w:val="it-IT"/>
        </w:rPr>
        <w:t>E: marcom-italia@eaton.com</w:t>
      </w:r>
    </w:p>
    <w:sectPr w:rsidR="420F0C33" w:rsidSect="009577F8">
      <w:headerReference w:type="default" r:id="rId19"/>
      <w:footerReference w:type="default" r:id="rId20"/>
      <w:headerReference w:type="first" r:id="rId21"/>
      <w:footerReference w:type="first" r:id="rId22"/>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E26E" w14:textId="77777777" w:rsidR="009577F8" w:rsidRDefault="009577F8">
      <w:pPr>
        <w:spacing w:after="0" w:line="240" w:lineRule="auto"/>
      </w:pPr>
      <w:r>
        <w:separator/>
      </w:r>
    </w:p>
  </w:endnote>
  <w:endnote w:type="continuationSeparator" w:id="0">
    <w:p w14:paraId="493B5045" w14:textId="77777777" w:rsidR="009577F8" w:rsidRDefault="0095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21BC1FA" w14:paraId="2F984722" w14:textId="77777777" w:rsidTr="321BC1FA">
      <w:trPr>
        <w:trHeight w:val="300"/>
      </w:trPr>
      <w:tc>
        <w:tcPr>
          <w:tcW w:w="3005" w:type="dxa"/>
        </w:tcPr>
        <w:p w14:paraId="0125EA86" w14:textId="77777777" w:rsidR="00C432CB" w:rsidRDefault="00C432CB" w:rsidP="321BC1FA">
          <w:pPr>
            <w:pStyle w:val="Intestazione"/>
            <w:ind w:left="-115"/>
          </w:pPr>
        </w:p>
      </w:tc>
      <w:tc>
        <w:tcPr>
          <w:tcW w:w="3005" w:type="dxa"/>
        </w:tcPr>
        <w:p w14:paraId="26A2D433" w14:textId="77777777" w:rsidR="00C432CB" w:rsidRDefault="00C432CB" w:rsidP="321BC1FA">
          <w:pPr>
            <w:pStyle w:val="Intestazione"/>
            <w:jc w:val="center"/>
          </w:pPr>
        </w:p>
      </w:tc>
      <w:tc>
        <w:tcPr>
          <w:tcW w:w="3005" w:type="dxa"/>
        </w:tcPr>
        <w:p w14:paraId="4FB360E0" w14:textId="77777777" w:rsidR="00C432CB" w:rsidRDefault="00C432CB" w:rsidP="321BC1FA">
          <w:pPr>
            <w:pStyle w:val="Intestazione"/>
            <w:ind w:right="-115"/>
            <w:jc w:val="right"/>
          </w:pPr>
        </w:p>
      </w:tc>
    </w:tr>
  </w:tbl>
  <w:p w14:paraId="7FEDA5BC" w14:textId="77777777" w:rsidR="00C432CB" w:rsidRDefault="00C432CB" w:rsidP="321BC1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59A7" w14:textId="77777777" w:rsidR="00C432CB" w:rsidRDefault="00C432CB" w:rsidP="000450BE">
    <w:pPr>
      <w:pStyle w:val="Pidipagina"/>
      <w:jc w:val="center"/>
    </w:pPr>
  </w:p>
  <w:p w14:paraId="10FA2E2B" w14:textId="77777777" w:rsidR="00C432CB" w:rsidRDefault="00C432CB" w:rsidP="000552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C345" w14:textId="77777777" w:rsidR="009577F8" w:rsidRDefault="009577F8">
      <w:pPr>
        <w:spacing w:after="0" w:line="240" w:lineRule="auto"/>
      </w:pPr>
      <w:r>
        <w:separator/>
      </w:r>
    </w:p>
  </w:footnote>
  <w:footnote w:type="continuationSeparator" w:id="0">
    <w:p w14:paraId="7A55CD09" w14:textId="77777777" w:rsidR="009577F8" w:rsidRDefault="00957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21BC1FA" w14:paraId="12405AF5" w14:textId="77777777" w:rsidTr="321BC1FA">
      <w:trPr>
        <w:trHeight w:val="300"/>
      </w:trPr>
      <w:tc>
        <w:tcPr>
          <w:tcW w:w="3005" w:type="dxa"/>
        </w:tcPr>
        <w:p w14:paraId="384E4754" w14:textId="77777777" w:rsidR="00C432CB" w:rsidRDefault="00C432CB" w:rsidP="321BC1FA">
          <w:pPr>
            <w:pStyle w:val="Intestazione"/>
            <w:ind w:left="-115"/>
          </w:pPr>
        </w:p>
      </w:tc>
      <w:tc>
        <w:tcPr>
          <w:tcW w:w="3005" w:type="dxa"/>
        </w:tcPr>
        <w:p w14:paraId="2E134326" w14:textId="77777777" w:rsidR="00C432CB" w:rsidRDefault="00C432CB" w:rsidP="321BC1FA">
          <w:pPr>
            <w:pStyle w:val="Intestazione"/>
            <w:jc w:val="center"/>
          </w:pPr>
        </w:p>
      </w:tc>
      <w:tc>
        <w:tcPr>
          <w:tcW w:w="3005" w:type="dxa"/>
        </w:tcPr>
        <w:p w14:paraId="3403D648" w14:textId="77777777" w:rsidR="00C432CB" w:rsidRDefault="00C432CB" w:rsidP="321BC1FA">
          <w:pPr>
            <w:pStyle w:val="Intestazione"/>
            <w:ind w:right="-115"/>
            <w:jc w:val="right"/>
          </w:pPr>
        </w:p>
      </w:tc>
    </w:tr>
  </w:tbl>
  <w:p w14:paraId="49EE1177" w14:textId="77777777" w:rsidR="00C432CB" w:rsidRDefault="00C432CB" w:rsidP="321BC1F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4" w:type="dxa"/>
      <w:tblLayout w:type="fixed"/>
      <w:tblCellMar>
        <w:left w:w="0" w:type="dxa"/>
        <w:right w:w="0" w:type="dxa"/>
      </w:tblCellMar>
      <w:tblLook w:val="0000" w:firstRow="0" w:lastRow="0" w:firstColumn="0" w:lastColumn="0" w:noHBand="0" w:noVBand="0"/>
    </w:tblPr>
    <w:tblGrid>
      <w:gridCol w:w="5408"/>
      <w:gridCol w:w="2062"/>
      <w:gridCol w:w="2062"/>
      <w:gridCol w:w="2062"/>
      <w:gridCol w:w="1620"/>
    </w:tblGrid>
    <w:tr w:rsidR="00CA6996" w14:paraId="6F09A311" w14:textId="77777777" w:rsidTr="00CA6996">
      <w:trPr>
        <w:trHeight w:val="1992"/>
      </w:trPr>
      <w:tc>
        <w:tcPr>
          <w:tcW w:w="5408" w:type="dxa"/>
        </w:tcPr>
        <w:p w14:paraId="14A2CDA6" w14:textId="77777777" w:rsidR="00C432CB" w:rsidRDefault="00C432CB" w:rsidP="00CA6996">
          <w:pPr>
            <w:pStyle w:val="Titolo1"/>
            <w:tabs>
              <w:tab w:val="left" w:pos="1647"/>
            </w:tabs>
            <w:ind w:left="522" w:hanging="630"/>
            <w:rPr>
              <w:rFonts w:cs="Arial"/>
            </w:rPr>
          </w:pPr>
          <w:r>
            <w:rPr>
              <w:noProof/>
            </w:rPr>
            <w:drawing>
              <wp:anchor distT="0" distB="0" distL="114300" distR="114300" simplePos="0" relativeHeight="251659264" behindDoc="1" locked="0" layoutInCell="1" allowOverlap="1" wp14:anchorId="22D300A9" wp14:editId="13CD2345">
                <wp:simplePos x="0" y="0"/>
                <wp:positionH relativeFrom="column">
                  <wp:posOffset>0</wp:posOffset>
                </wp:positionH>
                <wp:positionV relativeFrom="paragraph">
                  <wp:posOffset>38735</wp:posOffset>
                </wp:positionV>
                <wp:extent cx="1810385" cy="705485"/>
                <wp:effectExtent l="0" t="0" r="0" b="0"/>
                <wp:wrapSquare wrapText="bothSides"/>
                <wp:docPr id="61" name="Picture 9" descr="Eaton_PBW_L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960945" name="Picture 9" descr="Eaton_PBW_Lit_RGB"/>
                        <pic:cNvPicPr>
                          <a:picLocks noChangeAspect="1" noChangeArrowheads="1"/>
                        </pic:cNvPicPr>
                      </pic:nvPicPr>
                      <pic:blipFill>
                        <a:blip r:embed="rId1">
                          <a:extLst>
                            <a:ext uri="{28A0092B-C50C-407E-A947-70E740481C1C}">
                              <a14:useLocalDpi xmlns:a14="http://schemas.microsoft.com/office/drawing/2010/main" val="0"/>
                            </a:ext>
                          </a:extLst>
                        </a:blip>
                        <a:srcRect l="10149" t="20029" r="8931" b="13933"/>
                        <a:stretch>
                          <a:fillRect/>
                        </a:stretch>
                      </pic:blipFill>
                      <pic:spPr bwMode="auto">
                        <a:xfrm>
                          <a:off x="0" y="0"/>
                          <a:ext cx="1810385" cy="705485"/>
                        </a:xfrm>
                        <a:prstGeom prst="rect">
                          <a:avLst/>
                        </a:prstGeom>
                        <a:noFill/>
                      </pic:spPr>
                    </pic:pic>
                  </a:graphicData>
                </a:graphic>
                <wp14:sizeRelH relativeFrom="page">
                  <wp14:pctWidth>0</wp14:pctWidth>
                </wp14:sizeRelH>
                <wp14:sizeRelV relativeFrom="page">
                  <wp14:pctHeight>0</wp14:pctHeight>
                </wp14:sizeRelV>
              </wp:anchor>
            </w:drawing>
          </w:r>
        </w:p>
        <w:p w14:paraId="44B805F6" w14:textId="77777777" w:rsidR="00C432CB" w:rsidRDefault="00C432CB" w:rsidP="00CA6996">
          <w:pPr>
            <w:jc w:val="right"/>
          </w:pPr>
        </w:p>
        <w:p w14:paraId="62C99218" w14:textId="77777777" w:rsidR="00C432CB" w:rsidRDefault="00C432CB" w:rsidP="00CA6996">
          <w:pPr>
            <w:jc w:val="right"/>
            <w:rPr>
              <w:b/>
              <w:sz w:val="24"/>
            </w:rPr>
          </w:pPr>
          <w:bookmarkStart w:id="0" w:name="BusinessUnit"/>
          <w:bookmarkEnd w:id="0"/>
        </w:p>
        <w:p w14:paraId="69F699DA" w14:textId="77777777" w:rsidR="00C432CB" w:rsidRPr="003E0684" w:rsidRDefault="00C432CB" w:rsidP="00CA6996">
          <w:pPr>
            <w:pStyle w:val="Titolo1"/>
            <w:ind w:left="-90"/>
            <w:rPr>
              <w:rFonts w:cs="Arial"/>
            </w:rPr>
          </w:pPr>
        </w:p>
      </w:tc>
      <w:tc>
        <w:tcPr>
          <w:tcW w:w="2062" w:type="dxa"/>
        </w:tcPr>
        <w:p w14:paraId="3479390E" w14:textId="77777777" w:rsidR="00C432CB" w:rsidRPr="00A25AD3" w:rsidRDefault="00C432CB" w:rsidP="00CA6996">
          <w:pPr>
            <w:spacing w:line="220" w:lineRule="exact"/>
            <w:rPr>
              <w:rFonts w:ascii="Arial Narrow" w:hAnsi="Arial Narrow"/>
              <w:sz w:val="17"/>
              <w:lang w:val="it-IT"/>
            </w:rPr>
          </w:pPr>
          <w:r w:rsidRPr="00A25AD3">
            <w:rPr>
              <w:rFonts w:ascii="Arial Narrow" w:hAnsi="Arial Narrow"/>
              <w:sz w:val="17"/>
              <w:lang w:val="it-IT"/>
            </w:rPr>
            <w:t xml:space="preserve">Eaton </w:t>
          </w:r>
          <w:bookmarkStart w:id="1" w:name="Division"/>
          <w:bookmarkStart w:id="2" w:name="Address1"/>
          <w:bookmarkEnd w:id="1"/>
          <w:bookmarkEnd w:id="2"/>
          <w:r w:rsidRPr="00A25AD3">
            <w:rPr>
              <w:rFonts w:ascii="Arial Narrow" w:hAnsi="Arial Narrow"/>
              <w:sz w:val="17"/>
              <w:lang w:val="it-IT"/>
            </w:rPr>
            <w:t>Industries (Italia) S.r.l.</w:t>
          </w:r>
        </w:p>
        <w:p w14:paraId="298EA767" w14:textId="77777777" w:rsidR="00C432CB" w:rsidRPr="00A25AD3" w:rsidRDefault="00C432CB" w:rsidP="00CA6996">
          <w:pPr>
            <w:spacing w:line="220" w:lineRule="exact"/>
            <w:rPr>
              <w:rFonts w:ascii="Arial Narrow" w:hAnsi="Arial Narrow"/>
              <w:sz w:val="17"/>
              <w:lang w:val="it-IT"/>
            </w:rPr>
          </w:pPr>
          <w:r w:rsidRPr="00A25AD3">
            <w:rPr>
              <w:rFonts w:ascii="Arial Narrow" w:hAnsi="Arial Narrow"/>
              <w:sz w:val="17"/>
              <w:lang w:val="it-IT"/>
            </w:rPr>
            <w:t>Via san Bovio 3</w:t>
          </w:r>
        </w:p>
        <w:p w14:paraId="60B8E1AC" w14:textId="77777777" w:rsidR="00C432CB" w:rsidRPr="00736F6D" w:rsidRDefault="00C432CB" w:rsidP="00736F6D">
          <w:pPr>
            <w:spacing w:line="220" w:lineRule="exact"/>
            <w:rPr>
              <w:rFonts w:ascii="Arial Narrow" w:hAnsi="Arial Narrow"/>
              <w:sz w:val="17"/>
              <w:lang w:val="it-IT"/>
            </w:rPr>
          </w:pPr>
          <w:r w:rsidRPr="00D03BD7">
            <w:rPr>
              <w:rFonts w:ascii="Arial Narrow" w:hAnsi="Arial Narrow"/>
              <w:sz w:val="17"/>
              <w:lang w:val="it-IT"/>
            </w:rPr>
            <w:t>20090 Segrate (MI)</w:t>
          </w:r>
          <w:bookmarkStart w:id="3" w:name="Address2"/>
          <w:bookmarkEnd w:id="3"/>
        </w:p>
      </w:tc>
      <w:tc>
        <w:tcPr>
          <w:tcW w:w="2062" w:type="dxa"/>
        </w:tcPr>
        <w:p w14:paraId="2FB679B9" w14:textId="77777777" w:rsidR="00C432CB" w:rsidRPr="003E0684" w:rsidRDefault="00C432CB" w:rsidP="00CA6996">
          <w:pPr>
            <w:spacing w:line="240" w:lineRule="auto"/>
            <w:rPr>
              <w:sz w:val="16"/>
            </w:rPr>
          </w:pPr>
          <w:r>
            <w:rPr>
              <w:noProof/>
            </w:rPr>
            <w:drawing>
              <wp:anchor distT="0" distB="0" distL="0" distR="0" simplePos="0" relativeHeight="251660288" behindDoc="0" locked="0" layoutInCell="1" allowOverlap="1" wp14:anchorId="3FCED9AB" wp14:editId="7D815986">
                <wp:simplePos x="0" y="0"/>
                <wp:positionH relativeFrom="column">
                  <wp:posOffset>0</wp:posOffset>
                </wp:positionH>
                <wp:positionV relativeFrom="paragraph">
                  <wp:posOffset>0</wp:posOffset>
                </wp:positionV>
                <wp:extent cx="1016000" cy="774700"/>
                <wp:effectExtent l="0" t="0" r="0" b="0"/>
                <wp:wrapSquare wrapText="bothSides"/>
                <wp:docPr id="62" name="Picture 5" descr="releasesqua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leasesquar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774700"/>
                        </a:xfrm>
                        <a:prstGeom prst="rect">
                          <a:avLst/>
                        </a:prstGeom>
                        <a:noFill/>
                      </pic:spPr>
                    </pic:pic>
                  </a:graphicData>
                </a:graphic>
                <wp14:sizeRelH relativeFrom="page">
                  <wp14:pctWidth>0</wp14:pctWidth>
                </wp14:sizeRelH>
                <wp14:sizeRelV relativeFrom="page">
                  <wp14:pctHeight>0</wp14:pctHeight>
                </wp14:sizeRelV>
              </wp:anchor>
            </w:drawing>
          </w:r>
        </w:p>
      </w:tc>
      <w:tc>
        <w:tcPr>
          <w:tcW w:w="2062" w:type="dxa"/>
        </w:tcPr>
        <w:p w14:paraId="066879D0" w14:textId="77777777" w:rsidR="00C432CB" w:rsidRPr="003E0684" w:rsidRDefault="00C432CB" w:rsidP="00CA6996">
          <w:pPr>
            <w:spacing w:line="240" w:lineRule="auto"/>
            <w:rPr>
              <w:sz w:val="16"/>
            </w:rPr>
          </w:pPr>
          <w:bookmarkStart w:id="4" w:name="Enterprise"/>
          <w:bookmarkStart w:id="5" w:name="Fax"/>
          <w:bookmarkEnd w:id="4"/>
          <w:bookmarkEnd w:id="5"/>
        </w:p>
      </w:tc>
      <w:tc>
        <w:tcPr>
          <w:tcW w:w="1620" w:type="dxa"/>
        </w:tcPr>
        <w:p w14:paraId="7115DE9A" w14:textId="77777777" w:rsidR="00C432CB" w:rsidRDefault="00C432CB" w:rsidP="00CA6996">
          <w:pPr>
            <w:pStyle w:val="Titolo1"/>
            <w:rPr>
              <w:rFonts w:cs="Arial"/>
              <w:sz w:val="36"/>
            </w:rPr>
          </w:pPr>
        </w:p>
      </w:tc>
    </w:tr>
  </w:tbl>
  <w:p w14:paraId="5FC1BD62" w14:textId="77777777" w:rsidR="00C432CB" w:rsidRDefault="00C432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00981"/>
    <w:multiLevelType w:val="hybridMultilevel"/>
    <w:tmpl w:val="14321FD8"/>
    <w:lvl w:ilvl="0" w:tplc="074653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75B89"/>
    <w:multiLevelType w:val="hybridMultilevel"/>
    <w:tmpl w:val="67C673E6"/>
    <w:lvl w:ilvl="0" w:tplc="C846C752">
      <w:start w:val="1"/>
      <w:numFmt w:val="decimal"/>
      <w:lvlText w:val="%1."/>
      <w:lvlJc w:val="left"/>
      <w:pPr>
        <w:ind w:left="720" w:hanging="360"/>
      </w:pPr>
      <w:rPr>
        <w:rFonts w:ascii="Arial" w:hAnsi="Arial" w:cs="Arial" w:hint="default"/>
        <w:b/>
        <w:bCs/>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86619765">
    <w:abstractNumId w:val="1"/>
  </w:num>
  <w:num w:numId="2" w16cid:durableId="161841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AF"/>
    <w:rsid w:val="00027629"/>
    <w:rsid w:val="000A4C32"/>
    <w:rsid w:val="000D695D"/>
    <w:rsid w:val="001F7F58"/>
    <w:rsid w:val="002216E9"/>
    <w:rsid w:val="00582955"/>
    <w:rsid w:val="005C1DBE"/>
    <w:rsid w:val="006A1776"/>
    <w:rsid w:val="006F25BB"/>
    <w:rsid w:val="007563DA"/>
    <w:rsid w:val="0081392D"/>
    <w:rsid w:val="00863FAF"/>
    <w:rsid w:val="009028D9"/>
    <w:rsid w:val="00920E60"/>
    <w:rsid w:val="009577F8"/>
    <w:rsid w:val="00BA2FCC"/>
    <w:rsid w:val="00C432CB"/>
    <w:rsid w:val="050CEE4A"/>
    <w:rsid w:val="1E7B3C96"/>
    <w:rsid w:val="2510FB6A"/>
    <w:rsid w:val="2BAA7A38"/>
    <w:rsid w:val="2EDEE6E5"/>
    <w:rsid w:val="307D63A2"/>
    <w:rsid w:val="3F900093"/>
    <w:rsid w:val="420F0C33"/>
    <w:rsid w:val="42129903"/>
    <w:rsid w:val="4C02E81E"/>
    <w:rsid w:val="566EFC3E"/>
    <w:rsid w:val="56EB7883"/>
    <w:rsid w:val="624C29F7"/>
    <w:rsid w:val="66F7311F"/>
    <w:rsid w:val="69EA932D"/>
    <w:rsid w:val="6F6D374A"/>
    <w:rsid w:val="7A8AE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A937"/>
  <w15:chartTrackingRefBased/>
  <w15:docId w15:val="{A0F92D17-3301-4422-9249-9C66406E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3FAF"/>
    <w:pPr>
      <w:spacing w:line="252" w:lineRule="auto"/>
    </w:pPr>
    <w:rPr>
      <w:rFonts w:ascii="Arial" w:hAnsi="Arial" w:cs="Arial"/>
      <w:kern w:val="0"/>
      <w:sz w:val="20"/>
      <w:szCs w:val="20"/>
      <w:lang w:val="fr-FR"/>
      <w14:ligatures w14:val="none"/>
    </w:rPr>
  </w:style>
  <w:style w:type="paragraph" w:styleId="Titolo1">
    <w:name w:val="heading 1"/>
    <w:basedOn w:val="Normale"/>
    <w:next w:val="Normale"/>
    <w:link w:val="Titolo1Carattere"/>
    <w:uiPriority w:val="9"/>
    <w:qFormat/>
    <w:rsid w:val="00863FAF"/>
    <w:pPr>
      <w:keepNext/>
      <w:keepLines/>
      <w:spacing w:before="240" w:after="0" w:line="259" w:lineRule="auto"/>
      <w:outlineLvl w:val="0"/>
    </w:pPr>
    <w:rPr>
      <w:rFonts w:eastAsiaTheme="majorEastAsia"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3FAF"/>
    <w:rPr>
      <w:rFonts w:ascii="Arial" w:eastAsiaTheme="majorEastAsia" w:hAnsi="Arial" w:cstheme="majorBidi"/>
      <w:color w:val="2F5496" w:themeColor="accent1" w:themeShade="BF"/>
      <w:kern w:val="0"/>
      <w:sz w:val="32"/>
      <w:szCs w:val="32"/>
      <w:lang w:val="fr-FR"/>
      <w14:ligatures w14:val="none"/>
    </w:rPr>
  </w:style>
  <w:style w:type="character" w:styleId="Collegamentoipertestuale">
    <w:name w:val="Hyperlink"/>
    <w:basedOn w:val="Carpredefinitoparagrafo"/>
    <w:uiPriority w:val="99"/>
    <w:unhideWhenUsed/>
    <w:rsid w:val="00863FAF"/>
    <w:rPr>
      <w:color w:val="0563C1"/>
      <w:u w:val="single"/>
    </w:rPr>
  </w:style>
  <w:style w:type="paragraph" w:customStyle="1" w:styleId="paragraph">
    <w:name w:val="paragraph"/>
    <w:basedOn w:val="Normale"/>
    <w:rsid w:val="00863FA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eop">
    <w:name w:val="eop"/>
    <w:basedOn w:val="Carpredefinitoparagrafo"/>
    <w:rsid w:val="00863FAF"/>
  </w:style>
  <w:style w:type="character" w:customStyle="1" w:styleId="normaltextrun">
    <w:name w:val="normaltextrun"/>
    <w:basedOn w:val="Carpredefinitoparagrafo"/>
    <w:rsid w:val="00863FAF"/>
  </w:style>
  <w:style w:type="paragraph" w:styleId="Intestazione">
    <w:name w:val="header"/>
    <w:basedOn w:val="Normale"/>
    <w:link w:val="IntestazioneCarattere"/>
    <w:uiPriority w:val="99"/>
    <w:unhideWhenUsed/>
    <w:rsid w:val="00863FAF"/>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863FAF"/>
    <w:rPr>
      <w:rFonts w:ascii="Arial" w:hAnsi="Arial" w:cs="Arial"/>
      <w:kern w:val="0"/>
      <w:sz w:val="20"/>
      <w:szCs w:val="20"/>
      <w:lang w:val="fr-FR"/>
      <w14:ligatures w14:val="none"/>
    </w:rPr>
  </w:style>
  <w:style w:type="paragraph" w:styleId="Pidipagina">
    <w:name w:val="footer"/>
    <w:basedOn w:val="Normale"/>
    <w:link w:val="PidipaginaCarattere"/>
    <w:uiPriority w:val="99"/>
    <w:unhideWhenUsed/>
    <w:rsid w:val="00863FA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863FAF"/>
    <w:rPr>
      <w:rFonts w:ascii="Arial" w:hAnsi="Arial" w:cs="Arial"/>
      <w:kern w:val="0"/>
      <w:sz w:val="20"/>
      <w:szCs w:val="20"/>
      <w:lang w:val="fr-FR"/>
      <w14:ligatures w14:val="none"/>
    </w:rPr>
  </w:style>
  <w:style w:type="paragraph" w:customStyle="1" w:styleId="ReleaseDate">
    <w:name w:val="ReleaseDate"/>
    <w:basedOn w:val="Normale"/>
    <w:rsid w:val="00863FAF"/>
    <w:pPr>
      <w:spacing w:after="0" w:line="240" w:lineRule="auto"/>
    </w:pPr>
    <w:rPr>
      <w:rFonts w:eastAsia="Times New Roman"/>
      <w:lang w:val="en-US"/>
    </w:rPr>
  </w:style>
  <w:style w:type="paragraph" w:styleId="Paragrafoelenco">
    <w:name w:val="List Paragraph"/>
    <w:basedOn w:val="Normale"/>
    <w:uiPriority w:val="34"/>
    <w:qFormat/>
    <w:rsid w:val="00863FAF"/>
    <w:pPr>
      <w:ind w:left="720"/>
      <w:contextualSpacing/>
    </w:pPr>
  </w:style>
  <w:style w:type="character" w:customStyle="1" w:styleId="spellingerror">
    <w:name w:val="spellingerror"/>
    <w:basedOn w:val="Carpredefinitoparagrafo"/>
    <w:rsid w:val="00863FAF"/>
  </w:style>
  <w:style w:type="character" w:styleId="Rimandocommento">
    <w:name w:val="annotation reference"/>
    <w:basedOn w:val="Carpredefinitoparagrafo"/>
    <w:uiPriority w:val="99"/>
    <w:semiHidden/>
    <w:unhideWhenUsed/>
    <w:rsid w:val="000A4C32"/>
    <w:rPr>
      <w:sz w:val="16"/>
      <w:szCs w:val="16"/>
    </w:rPr>
  </w:style>
  <w:style w:type="paragraph" w:styleId="Testocommento">
    <w:name w:val="annotation text"/>
    <w:basedOn w:val="Normale"/>
    <w:link w:val="TestocommentoCarattere"/>
    <w:uiPriority w:val="99"/>
    <w:unhideWhenUsed/>
    <w:rsid w:val="000A4C32"/>
    <w:pPr>
      <w:spacing w:line="240" w:lineRule="auto"/>
    </w:pPr>
    <w:rPr>
      <w:rFonts w:asciiTheme="minorHAnsi" w:hAnsiTheme="minorHAnsi" w:cstheme="minorBidi"/>
      <w:kern w:val="2"/>
      <w:lang w:val="en-GB"/>
      <w14:ligatures w14:val="standardContextual"/>
    </w:rPr>
  </w:style>
  <w:style w:type="character" w:customStyle="1" w:styleId="TestocommentoCarattere">
    <w:name w:val="Testo commento Carattere"/>
    <w:basedOn w:val="Carpredefinitoparagrafo"/>
    <w:link w:val="Testocommento"/>
    <w:uiPriority w:val="99"/>
    <w:rsid w:val="000A4C32"/>
    <w:rPr>
      <w:sz w:val="20"/>
      <w:szCs w:val="20"/>
      <w:lang w:val="en-GB"/>
    </w:rPr>
  </w:style>
  <w:style w:type="paragraph" w:styleId="Revisione">
    <w:name w:val="Revision"/>
    <w:hidden/>
    <w:uiPriority w:val="99"/>
    <w:semiHidden/>
    <w:rsid w:val="0081392D"/>
    <w:pPr>
      <w:spacing w:after="0" w:line="240" w:lineRule="auto"/>
    </w:pPr>
    <w:rPr>
      <w:rFonts w:ascii="Arial" w:hAnsi="Arial" w:cs="Arial"/>
      <w:kern w:val="0"/>
      <w:sz w:val="20"/>
      <w:szCs w:val="20"/>
      <w:lang w:val="fr-FR"/>
      <w14:ligatures w14:val="none"/>
    </w:rPr>
  </w:style>
  <w:style w:type="character" w:styleId="Menzionenonrisolta">
    <w:name w:val="Unresolved Mention"/>
    <w:basedOn w:val="Carpredefinitoparagrafo"/>
    <w:uiPriority w:val="99"/>
    <w:semiHidden/>
    <w:unhideWhenUsed/>
    <w:rsid w:val="006A1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ton.com/it/it-it/company/news-insights/energy-transition/buildings-as-a-grid.html?source=post:1734265799343905943" TargetMode="External"/><Relationship Id="rId13" Type="http://schemas.openxmlformats.org/officeDocument/2006/relationships/hyperlink" Target="https://digital-strategy.ec.europa.eu/it/policies/european-approach-artificial-intelligence" TargetMode="External"/><Relationship Id="rId18" Type="http://schemas.openxmlformats.org/officeDocument/2006/relationships/hyperlink" Target="https://www.linkedin.com/company/eaton/"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iea.org/reports/electricity-2024" TargetMode="External"/><Relationship Id="rId12" Type="http://schemas.openxmlformats.org/officeDocument/2006/relationships/hyperlink" Target="https://www.consilium.europa.eu/it/press/press-releases/2023/10/05/fluorinated-gases-and-ozone-depleting-substances-council-and-parliament-reach-agreement/" TargetMode="External"/><Relationship Id="rId17" Type="http://schemas.openxmlformats.org/officeDocument/2006/relationships/hyperlink" Target="https://twitter.com/eatoncorp" TargetMode="External"/><Relationship Id="rId2" Type="http://schemas.openxmlformats.org/officeDocument/2006/relationships/styles" Target="styles.xml"/><Relationship Id="rId16" Type="http://schemas.openxmlformats.org/officeDocument/2006/relationships/hyperlink" Target="http://www.eaton.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rgy.ec.europa.eu/topics/renewable-energy/solar-energy_en?prefLang=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p28.com/en/global-renewables-and-energy-efficiency-pledge" TargetMode="External"/><Relationship Id="rId23" Type="http://schemas.openxmlformats.org/officeDocument/2006/relationships/fontTable" Target="fontTable.xml"/><Relationship Id="rId10" Type="http://schemas.openxmlformats.org/officeDocument/2006/relationships/hyperlink" Target="https://www.eaton.com/gb/en-gb/markets/renewables/solar/utility-scale-solar-power.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commission/presscorner/detail/it/ip_23_6044" TargetMode="External"/><Relationship Id="rId14" Type="http://schemas.openxmlformats.org/officeDocument/2006/relationships/hyperlink" Target="https://digital-strategy.ec.europa.eu/it/policies/data-ac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Tavano</dc:creator>
  <cp:keywords/>
  <dc:description/>
  <cp:lastModifiedBy>Chiara Parma</cp:lastModifiedBy>
  <cp:revision>6</cp:revision>
  <dcterms:created xsi:type="dcterms:W3CDTF">2024-02-07T13:16:00Z</dcterms:created>
  <dcterms:modified xsi:type="dcterms:W3CDTF">2024-02-07T15:54:00Z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418558-72e5-4d8e-958f-cfe0e73e210d_Enabled">
    <vt:lpwstr>true</vt:lpwstr>
  </property>
  <property fmtid="{D5CDD505-2E9C-101B-9397-08002B2CF9AE}" pid="3" name="MSIP_Label_ff418558-72e5-4d8e-958f-cfe0e73e210d_SetDate">
    <vt:lpwstr>2024-02-07T12:23:11Z</vt:lpwstr>
  </property>
  <property fmtid="{D5CDD505-2E9C-101B-9397-08002B2CF9AE}" pid="4" name="MSIP_Label_ff418558-72e5-4d8e-958f-cfe0e73e210d_Method">
    <vt:lpwstr>Standard</vt:lpwstr>
  </property>
  <property fmtid="{D5CDD505-2E9C-101B-9397-08002B2CF9AE}" pid="5" name="MSIP_Label_ff418558-72e5-4d8e-958f-cfe0e73e210d_Name">
    <vt:lpwstr>Eaton Internal Only (IP2)</vt:lpwstr>
  </property>
  <property fmtid="{D5CDD505-2E9C-101B-9397-08002B2CF9AE}" pid="6" name="MSIP_Label_ff418558-72e5-4d8e-958f-cfe0e73e210d_SiteId">
    <vt:lpwstr>d6525c95-b906-431a-b926-e9b51ba43cc4</vt:lpwstr>
  </property>
  <property fmtid="{D5CDD505-2E9C-101B-9397-08002B2CF9AE}" pid="7" name="MSIP_Label_ff418558-72e5-4d8e-958f-cfe0e73e210d_ActionId">
    <vt:lpwstr>2af255d9-4cc9-44a4-9ae8-e09697a072cf</vt:lpwstr>
  </property>
  <property fmtid="{D5CDD505-2E9C-101B-9397-08002B2CF9AE}" pid="8" name="MSIP_Label_ff418558-72e5-4d8e-958f-cfe0e73e210d_ContentBits">
    <vt:lpwstr>0</vt:lpwstr>
  </property>
</Properties>
</file>