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64852C" w14:textId="4576CCD5" w:rsidR="00D55343" w:rsidRPr="00266D8D" w:rsidRDefault="008770D0" w:rsidP="00266D8D">
      <w:pPr>
        <w:contextualSpacing/>
        <w:rPr>
          <w:rFonts w:ascii="Calibri" w:hAnsi="Calibri" w:cs="Calibri"/>
          <w:b/>
          <w:lang w:val="it-IT"/>
        </w:rPr>
      </w:pPr>
      <w:r w:rsidRPr="00266D8D">
        <w:rPr>
          <w:rFonts w:ascii="Calibri" w:hAnsi="Calibri" w:cs="Calibri"/>
          <w:b/>
          <w:lang w:val="it-IT"/>
        </w:rPr>
        <w:t>T. Rowe Price:</w:t>
      </w:r>
      <w:r w:rsidR="00DF3FF6">
        <w:rPr>
          <w:rFonts w:ascii="Calibri" w:hAnsi="Calibri" w:cs="Calibri"/>
          <w:b/>
          <w:lang w:val="it-IT"/>
        </w:rPr>
        <w:t xml:space="preserve"> Dieci</w:t>
      </w:r>
      <w:r w:rsidR="00D55343">
        <w:rPr>
          <w:rFonts w:ascii="Calibri" w:hAnsi="Calibri" w:cs="Calibri"/>
          <w:b/>
          <w:lang w:val="it-IT"/>
        </w:rPr>
        <w:t xml:space="preserve"> </w:t>
      </w:r>
      <w:r>
        <w:rPr>
          <w:rFonts w:ascii="Calibri" w:hAnsi="Calibri" w:cs="Calibri"/>
          <w:b/>
          <w:lang w:val="it-IT"/>
        </w:rPr>
        <w:t>titoli per cavalcare</w:t>
      </w:r>
      <w:r w:rsidR="001C6ED5">
        <w:rPr>
          <w:rFonts w:ascii="Calibri" w:hAnsi="Calibri" w:cs="Calibri"/>
          <w:b/>
          <w:lang w:val="it-IT"/>
        </w:rPr>
        <w:t xml:space="preserve"> i settori</w:t>
      </w:r>
      <w:r w:rsidR="00D55343">
        <w:rPr>
          <w:rFonts w:ascii="Calibri" w:hAnsi="Calibri" w:cs="Calibri"/>
          <w:b/>
          <w:lang w:val="it-IT"/>
        </w:rPr>
        <w:t xml:space="preserve"> </w:t>
      </w:r>
      <w:r w:rsidR="00706666">
        <w:rPr>
          <w:rFonts w:ascii="Calibri" w:hAnsi="Calibri" w:cs="Calibri"/>
          <w:b/>
          <w:lang w:val="it-IT"/>
        </w:rPr>
        <w:t>healthcare</w:t>
      </w:r>
      <w:r w:rsidR="00793E76">
        <w:rPr>
          <w:rFonts w:ascii="Calibri" w:hAnsi="Calibri" w:cs="Calibri"/>
          <w:b/>
          <w:lang w:val="it-IT"/>
        </w:rPr>
        <w:t xml:space="preserve">, </w:t>
      </w:r>
      <w:r w:rsidR="00706666">
        <w:rPr>
          <w:rFonts w:ascii="Calibri" w:hAnsi="Calibri" w:cs="Calibri"/>
          <w:b/>
          <w:lang w:val="it-IT"/>
        </w:rPr>
        <w:t>industrial</w:t>
      </w:r>
      <w:r w:rsidR="00DF3FF6">
        <w:rPr>
          <w:rFonts w:ascii="Calibri" w:hAnsi="Calibri" w:cs="Calibri"/>
          <w:b/>
          <w:lang w:val="it-IT"/>
        </w:rPr>
        <w:t>e</w:t>
      </w:r>
      <w:r w:rsidR="00CF2AD6">
        <w:rPr>
          <w:rFonts w:ascii="Calibri" w:hAnsi="Calibri" w:cs="Calibri"/>
          <w:b/>
          <w:lang w:val="it-IT"/>
        </w:rPr>
        <w:t xml:space="preserve"> e</w:t>
      </w:r>
      <w:r w:rsidR="001C6ED5">
        <w:rPr>
          <w:rFonts w:ascii="Calibri" w:hAnsi="Calibri" w:cs="Calibri"/>
          <w:b/>
          <w:lang w:val="it-IT"/>
        </w:rPr>
        <w:t xml:space="preserve"> IA</w:t>
      </w:r>
    </w:p>
    <w:p w14:paraId="13D1EAE2" w14:textId="77777777" w:rsidR="00D55343" w:rsidRPr="00266D8D" w:rsidRDefault="00D55343" w:rsidP="00266D8D">
      <w:pPr>
        <w:contextualSpacing/>
        <w:rPr>
          <w:lang w:val="it-IT"/>
        </w:rPr>
      </w:pPr>
    </w:p>
    <w:p w14:paraId="79D9174F" w14:textId="69CFE29A" w:rsidR="000E5319" w:rsidRPr="00266D8D" w:rsidRDefault="00E32DA8" w:rsidP="00266D8D">
      <w:pPr>
        <w:pStyle w:val="Corpotesto"/>
        <w:ind w:left="0"/>
        <w:contextualSpacing/>
        <w:rPr>
          <w:rFonts w:ascii="Calibri" w:hAnsi="Calibri" w:cs="Calibri"/>
          <w:lang w:val="it-IT"/>
        </w:rPr>
      </w:pPr>
      <w:r w:rsidRPr="00E32DA8">
        <w:rPr>
          <w:rFonts w:ascii="Calibri" w:hAnsi="Calibri" w:cs="Calibri"/>
          <w:lang w:val="it-IT"/>
        </w:rPr>
        <w:t xml:space="preserve">A cura di </w:t>
      </w:r>
      <w:r w:rsidRPr="00266D8D">
        <w:rPr>
          <w:rFonts w:ascii="Calibri" w:hAnsi="Calibri" w:cs="Calibri"/>
          <w:b/>
          <w:bCs/>
          <w:lang w:val="it-IT"/>
        </w:rPr>
        <w:t>Nabil Hanano, Associate Portfolio Manager, Global Growth Equities, T. Rowe Price</w:t>
      </w:r>
    </w:p>
    <w:p w14:paraId="09A24201" w14:textId="77777777" w:rsidR="00266D8D" w:rsidRDefault="00266D8D" w:rsidP="00266D8D">
      <w:pPr>
        <w:pStyle w:val="Corpotesto"/>
        <w:ind w:left="0" w:right="180"/>
        <w:contextualSpacing/>
        <w:rPr>
          <w:rFonts w:ascii="Calibri" w:hAnsi="Calibri" w:cs="Calibri"/>
          <w:lang w:val="it-IT"/>
        </w:rPr>
      </w:pPr>
    </w:p>
    <w:p w14:paraId="10CE7F27" w14:textId="2F707E19" w:rsidR="008770D0" w:rsidRDefault="008770D0" w:rsidP="00266D8D">
      <w:pPr>
        <w:pStyle w:val="Corpotesto"/>
        <w:ind w:left="0" w:right="180"/>
        <w:contextualSpacing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G</w:t>
      </w:r>
      <w:r w:rsidR="00F339C2" w:rsidRPr="00266D8D">
        <w:rPr>
          <w:rFonts w:ascii="Calibri" w:hAnsi="Calibri" w:cs="Calibri"/>
          <w:lang w:val="it-IT"/>
        </w:rPr>
        <w:t xml:space="preserve">li investitori stanno affrontando </w:t>
      </w:r>
      <w:r w:rsidR="004E64BE" w:rsidRPr="00266D8D">
        <w:rPr>
          <w:rFonts w:ascii="Calibri" w:hAnsi="Calibri" w:cs="Calibri"/>
          <w:lang w:val="it-IT"/>
        </w:rPr>
        <w:t xml:space="preserve">tre </w:t>
      </w:r>
      <w:r w:rsidR="009A16AA" w:rsidRPr="00266D8D">
        <w:rPr>
          <w:rFonts w:ascii="Calibri" w:hAnsi="Calibri" w:cs="Calibri"/>
          <w:lang w:val="it-IT"/>
        </w:rPr>
        <w:t>mutamenti</w:t>
      </w:r>
      <w:r w:rsidR="004E64BE" w:rsidRPr="00266D8D">
        <w:rPr>
          <w:rFonts w:ascii="Calibri" w:hAnsi="Calibri" w:cs="Calibri"/>
          <w:lang w:val="it-IT"/>
        </w:rPr>
        <w:t xml:space="preserve"> </w:t>
      </w:r>
      <w:r w:rsidR="009A16AA" w:rsidRPr="00266D8D">
        <w:rPr>
          <w:rFonts w:ascii="Calibri" w:hAnsi="Calibri" w:cs="Calibri"/>
          <w:lang w:val="it-IT"/>
        </w:rPr>
        <w:t>significativi</w:t>
      </w:r>
      <w:r w:rsidR="004E64BE" w:rsidRPr="00266D8D">
        <w:rPr>
          <w:rFonts w:ascii="Calibri" w:hAnsi="Calibri" w:cs="Calibri"/>
          <w:lang w:val="it-IT"/>
        </w:rPr>
        <w:t xml:space="preserve"> sul mercato: </w:t>
      </w:r>
      <w:r w:rsidR="004E64BE" w:rsidRPr="00266D8D">
        <w:rPr>
          <w:rFonts w:ascii="Calibri" w:hAnsi="Calibri" w:cs="Calibri"/>
          <w:b/>
          <w:bCs/>
          <w:lang w:val="it-IT"/>
        </w:rPr>
        <w:t>l'intelligenza artificiale (IA), le incretine artificiali (GLP-1) e gli investimenti in un mondo di</w:t>
      </w:r>
      <w:r w:rsidR="009A16AA" w:rsidRPr="00266D8D">
        <w:rPr>
          <w:rFonts w:ascii="Calibri" w:hAnsi="Calibri" w:cs="Calibri"/>
          <w:b/>
          <w:bCs/>
          <w:lang w:val="it-IT"/>
        </w:rPr>
        <w:t>fferente</w:t>
      </w:r>
      <w:r w:rsidR="004E64BE" w:rsidRPr="00266D8D">
        <w:rPr>
          <w:rFonts w:ascii="Calibri" w:hAnsi="Calibri" w:cs="Calibri"/>
          <w:b/>
          <w:bCs/>
          <w:lang w:val="it-IT"/>
        </w:rPr>
        <w:t xml:space="preserve"> da quello dell'ultimo decennio</w:t>
      </w:r>
      <w:r w:rsidR="004E64BE" w:rsidRPr="00266D8D">
        <w:rPr>
          <w:rFonts w:ascii="Calibri" w:hAnsi="Calibri" w:cs="Calibri"/>
          <w:lang w:val="it-IT"/>
        </w:rPr>
        <w:t xml:space="preserve">. </w:t>
      </w:r>
      <w:r w:rsidR="009A5EFB">
        <w:rPr>
          <w:rFonts w:ascii="Calibri" w:hAnsi="Calibri" w:cs="Calibri"/>
          <w:lang w:val="it-IT"/>
        </w:rPr>
        <w:t>A nostro avviso</w:t>
      </w:r>
      <w:r w:rsidR="004E64BE" w:rsidRPr="00266D8D">
        <w:rPr>
          <w:rFonts w:ascii="Calibri" w:hAnsi="Calibri" w:cs="Calibri"/>
          <w:lang w:val="it-IT"/>
        </w:rPr>
        <w:t xml:space="preserve"> l'IA</w:t>
      </w:r>
      <w:r w:rsidR="009A5EFB">
        <w:rPr>
          <w:rFonts w:ascii="Calibri" w:hAnsi="Calibri" w:cs="Calibri"/>
          <w:lang w:val="it-IT"/>
        </w:rPr>
        <w:t xml:space="preserve"> </w:t>
      </w:r>
      <w:r w:rsidR="00D774F3">
        <w:rPr>
          <w:rFonts w:ascii="Calibri" w:hAnsi="Calibri" w:cs="Calibri"/>
          <w:lang w:val="it-IT"/>
        </w:rPr>
        <w:t xml:space="preserve">rappresenta </w:t>
      </w:r>
      <w:r w:rsidR="004E64BE" w:rsidRPr="00266D8D">
        <w:rPr>
          <w:rFonts w:ascii="Calibri" w:hAnsi="Calibri" w:cs="Calibri"/>
          <w:lang w:val="it-IT"/>
        </w:rPr>
        <w:t xml:space="preserve">un </w:t>
      </w:r>
      <w:r w:rsidR="009A16AA" w:rsidRPr="00266D8D">
        <w:rPr>
          <w:rFonts w:ascii="Calibri" w:hAnsi="Calibri" w:cs="Calibri"/>
          <w:lang w:val="it-IT"/>
        </w:rPr>
        <w:t>significativo</w:t>
      </w:r>
      <w:r w:rsidR="00D774F3">
        <w:rPr>
          <w:rFonts w:ascii="Calibri" w:hAnsi="Calibri" w:cs="Calibri"/>
          <w:lang w:val="it-IT"/>
        </w:rPr>
        <w:t xml:space="preserve"> </w:t>
      </w:r>
      <w:r w:rsidR="004E64BE" w:rsidRPr="00266D8D">
        <w:rPr>
          <w:rFonts w:ascii="Calibri" w:hAnsi="Calibri" w:cs="Calibri"/>
          <w:lang w:val="it-IT"/>
        </w:rPr>
        <w:t>cambiamento</w:t>
      </w:r>
      <w:r w:rsidR="009A5EFB">
        <w:rPr>
          <w:rFonts w:ascii="Calibri" w:hAnsi="Calibri" w:cs="Calibri"/>
          <w:lang w:val="it-IT"/>
        </w:rPr>
        <w:t>, dal punto di vista dei fondamentali</w:t>
      </w:r>
      <w:r w:rsidR="004E64BE" w:rsidRPr="00266D8D">
        <w:rPr>
          <w:rFonts w:ascii="Calibri" w:hAnsi="Calibri" w:cs="Calibri"/>
          <w:lang w:val="it-IT"/>
        </w:rPr>
        <w:t xml:space="preserve">, </w:t>
      </w:r>
      <w:r w:rsidR="009A16AA" w:rsidRPr="00266D8D">
        <w:rPr>
          <w:rFonts w:ascii="Calibri" w:hAnsi="Calibri" w:cs="Calibri"/>
          <w:lang w:val="it-IT"/>
        </w:rPr>
        <w:t>grazie a</w:t>
      </w:r>
      <w:r w:rsidR="004E64BE" w:rsidRPr="00266D8D">
        <w:rPr>
          <w:rFonts w:ascii="Calibri" w:hAnsi="Calibri" w:cs="Calibri"/>
          <w:lang w:val="it-IT"/>
        </w:rPr>
        <w:t xml:space="preserve"> un portafoglio </w:t>
      </w:r>
      <w:r w:rsidR="009A16AA" w:rsidRPr="00266D8D">
        <w:rPr>
          <w:rFonts w:ascii="Calibri" w:hAnsi="Calibri" w:cs="Calibri"/>
          <w:lang w:val="it-IT"/>
        </w:rPr>
        <w:t>di titoli che riteniamo possano</w:t>
      </w:r>
      <w:r w:rsidR="004E64BE" w:rsidRPr="00266D8D">
        <w:rPr>
          <w:rFonts w:ascii="Calibri" w:hAnsi="Calibri" w:cs="Calibri"/>
          <w:lang w:val="it-IT"/>
        </w:rPr>
        <w:t xml:space="preserve"> </w:t>
      </w:r>
      <w:r w:rsidR="00A177FB" w:rsidRPr="00266D8D">
        <w:rPr>
          <w:rFonts w:ascii="Calibri" w:hAnsi="Calibri" w:cs="Calibri"/>
          <w:lang w:val="it-IT"/>
        </w:rPr>
        <w:t>comprendere</w:t>
      </w:r>
      <w:r w:rsidR="004E64BE" w:rsidRPr="00266D8D">
        <w:rPr>
          <w:rFonts w:ascii="Calibri" w:hAnsi="Calibri" w:cs="Calibri"/>
          <w:lang w:val="it-IT"/>
        </w:rPr>
        <w:t xml:space="preserve"> </w:t>
      </w:r>
      <w:r w:rsidR="00A177FB" w:rsidRPr="00266D8D">
        <w:rPr>
          <w:rFonts w:ascii="Calibri" w:hAnsi="Calibri" w:cs="Calibri"/>
          <w:lang w:val="it-IT"/>
        </w:rPr>
        <w:t>tutto lo spettro del</w:t>
      </w:r>
      <w:r w:rsidR="004E64BE" w:rsidRPr="00266D8D">
        <w:rPr>
          <w:rFonts w:ascii="Calibri" w:hAnsi="Calibri" w:cs="Calibri"/>
          <w:lang w:val="it-IT"/>
        </w:rPr>
        <w:t>l'economia, dai semiconduttori a</w:t>
      </w:r>
      <w:r w:rsidR="00A177FB" w:rsidRPr="00266D8D">
        <w:rPr>
          <w:rFonts w:ascii="Calibri" w:hAnsi="Calibri" w:cs="Calibri"/>
          <w:lang w:val="it-IT"/>
        </w:rPr>
        <w:t xml:space="preserve">i </w:t>
      </w:r>
      <w:r w:rsidR="004E64BE" w:rsidRPr="00266D8D">
        <w:rPr>
          <w:rFonts w:ascii="Calibri" w:hAnsi="Calibri" w:cs="Calibri"/>
          <w:lang w:val="it-IT"/>
        </w:rPr>
        <w:t>software</w:t>
      </w:r>
      <w:r w:rsidR="00C11B2C" w:rsidRPr="00266D8D">
        <w:rPr>
          <w:rFonts w:ascii="Calibri" w:hAnsi="Calibri" w:cs="Calibri"/>
          <w:lang w:val="it-IT"/>
        </w:rPr>
        <w:t xml:space="preserve">. </w:t>
      </w:r>
      <w:r w:rsidR="004E64BE" w:rsidRPr="00266D8D">
        <w:rPr>
          <w:rFonts w:ascii="Calibri" w:hAnsi="Calibri" w:cs="Calibri"/>
          <w:lang w:val="it-IT"/>
        </w:rPr>
        <w:t xml:space="preserve">Le incretine artificiali stanno </w:t>
      </w:r>
      <w:r w:rsidR="000C652C" w:rsidRPr="00266D8D">
        <w:rPr>
          <w:rFonts w:ascii="Calibri" w:hAnsi="Calibri" w:cs="Calibri"/>
          <w:lang w:val="it-IT"/>
        </w:rPr>
        <w:t>dando vita a</w:t>
      </w:r>
      <w:r w:rsidR="004E64BE" w:rsidRPr="00266D8D">
        <w:rPr>
          <w:rFonts w:ascii="Calibri" w:hAnsi="Calibri" w:cs="Calibri"/>
          <w:lang w:val="it-IT"/>
        </w:rPr>
        <w:t xml:space="preserve"> un nuovo mercato sostanziale nel c</w:t>
      </w:r>
      <w:r w:rsidR="000C652C" w:rsidRPr="00266D8D">
        <w:rPr>
          <w:rFonts w:ascii="Calibri" w:hAnsi="Calibri" w:cs="Calibri"/>
          <w:lang w:val="it-IT"/>
        </w:rPr>
        <w:t>omparto</w:t>
      </w:r>
      <w:r w:rsidR="004E64BE" w:rsidRPr="00266D8D">
        <w:rPr>
          <w:rFonts w:ascii="Calibri" w:hAnsi="Calibri" w:cs="Calibri"/>
          <w:lang w:val="it-IT"/>
        </w:rPr>
        <w:t xml:space="preserve"> dell'obesità, che dovrebbe </w:t>
      </w:r>
      <w:r w:rsidR="00A177FB" w:rsidRPr="00266D8D">
        <w:rPr>
          <w:rFonts w:ascii="Calibri" w:hAnsi="Calibri" w:cs="Calibri"/>
          <w:lang w:val="it-IT"/>
        </w:rPr>
        <w:t xml:space="preserve">assorbire </w:t>
      </w:r>
      <w:r w:rsidR="004E64BE" w:rsidRPr="00266D8D">
        <w:rPr>
          <w:rFonts w:ascii="Calibri" w:hAnsi="Calibri" w:cs="Calibri"/>
          <w:lang w:val="it-IT"/>
        </w:rPr>
        <w:t>una quota dell</w:t>
      </w:r>
      <w:r w:rsidR="00A177FB" w:rsidRPr="00266D8D">
        <w:rPr>
          <w:rFonts w:ascii="Calibri" w:hAnsi="Calibri" w:cs="Calibri"/>
          <w:lang w:val="it-IT"/>
        </w:rPr>
        <w:t>e</w:t>
      </w:r>
      <w:r w:rsidR="004E64BE" w:rsidRPr="00266D8D">
        <w:rPr>
          <w:rFonts w:ascii="Calibri" w:hAnsi="Calibri" w:cs="Calibri"/>
          <w:lang w:val="it-IT"/>
        </w:rPr>
        <w:t xml:space="preserve"> spes</w:t>
      </w:r>
      <w:r w:rsidR="00A177FB" w:rsidRPr="00266D8D">
        <w:rPr>
          <w:rFonts w:ascii="Calibri" w:hAnsi="Calibri" w:cs="Calibri"/>
          <w:lang w:val="it-IT"/>
        </w:rPr>
        <w:t>e</w:t>
      </w:r>
      <w:r w:rsidR="004E64BE" w:rsidRPr="00266D8D">
        <w:rPr>
          <w:rFonts w:ascii="Calibri" w:hAnsi="Calibri" w:cs="Calibri"/>
          <w:lang w:val="it-IT"/>
        </w:rPr>
        <w:t xml:space="preserve"> medic</w:t>
      </w:r>
      <w:r w:rsidR="00A177FB" w:rsidRPr="00266D8D">
        <w:rPr>
          <w:rFonts w:ascii="Calibri" w:hAnsi="Calibri" w:cs="Calibri"/>
          <w:lang w:val="it-IT"/>
        </w:rPr>
        <w:t>he</w:t>
      </w:r>
      <w:r w:rsidR="000C652C" w:rsidRPr="00266D8D">
        <w:rPr>
          <w:rFonts w:ascii="Calibri" w:hAnsi="Calibri" w:cs="Calibri"/>
          <w:lang w:val="it-IT"/>
        </w:rPr>
        <w:t>.</w:t>
      </w:r>
      <w:r w:rsidRPr="00266D8D">
        <w:rPr>
          <w:rFonts w:ascii="Calibri" w:hAnsi="Calibri" w:cs="Calibri"/>
          <w:lang w:val="it-IT"/>
        </w:rPr>
        <w:t xml:space="preserve"> </w:t>
      </w:r>
      <w:r w:rsidR="00CA3E03" w:rsidRPr="00266D8D">
        <w:rPr>
          <w:rFonts w:ascii="Calibri" w:hAnsi="Calibri" w:cs="Calibri"/>
          <w:lang w:val="it-IT"/>
        </w:rPr>
        <w:t xml:space="preserve">Da ultimo, </w:t>
      </w:r>
      <w:r w:rsidR="00F052C5" w:rsidRPr="00266D8D">
        <w:rPr>
          <w:rFonts w:ascii="Calibri" w:hAnsi="Calibri" w:cs="Calibri"/>
          <w:lang w:val="it-IT"/>
        </w:rPr>
        <w:t>sono sotto gli occhi di tutti</w:t>
      </w:r>
      <w:r w:rsidR="00CA3E03" w:rsidRPr="00266D8D">
        <w:rPr>
          <w:rFonts w:ascii="Calibri" w:hAnsi="Calibri" w:cs="Calibri"/>
          <w:lang w:val="it-IT"/>
        </w:rPr>
        <w:t xml:space="preserve"> prove sufficienti, </w:t>
      </w:r>
      <w:r w:rsidR="00F052C5" w:rsidRPr="00266D8D">
        <w:rPr>
          <w:rFonts w:ascii="Calibri" w:hAnsi="Calibri" w:cs="Calibri"/>
          <w:lang w:val="it-IT"/>
        </w:rPr>
        <w:t>secondo cui</w:t>
      </w:r>
      <w:r w:rsidR="00CA3E03" w:rsidRPr="00266D8D">
        <w:rPr>
          <w:rFonts w:ascii="Calibri" w:hAnsi="Calibri" w:cs="Calibri"/>
          <w:lang w:val="it-IT"/>
        </w:rPr>
        <w:t xml:space="preserve"> </w:t>
      </w:r>
      <w:r w:rsidR="00D774F3">
        <w:rPr>
          <w:rFonts w:ascii="Calibri" w:hAnsi="Calibri" w:cs="Calibri"/>
          <w:lang w:val="it-IT"/>
        </w:rPr>
        <w:t>la pandemia di</w:t>
      </w:r>
      <w:r w:rsidR="00CA3E03" w:rsidRPr="00266D8D">
        <w:rPr>
          <w:rFonts w:ascii="Calibri" w:hAnsi="Calibri" w:cs="Calibri"/>
          <w:lang w:val="it-IT"/>
        </w:rPr>
        <w:t xml:space="preserve"> C</w:t>
      </w:r>
      <w:r w:rsidR="00C11B2C" w:rsidRPr="00266D8D">
        <w:rPr>
          <w:rFonts w:ascii="Calibri" w:hAnsi="Calibri" w:cs="Calibri"/>
          <w:lang w:val="it-IT"/>
        </w:rPr>
        <w:t>ovid</w:t>
      </w:r>
      <w:r w:rsidR="00D774F3">
        <w:rPr>
          <w:rFonts w:ascii="Calibri" w:hAnsi="Calibri" w:cs="Calibri"/>
          <w:lang w:val="it-IT"/>
        </w:rPr>
        <w:t>-19</w:t>
      </w:r>
      <w:r w:rsidR="00CA3E03" w:rsidRPr="00266D8D">
        <w:rPr>
          <w:rFonts w:ascii="Calibri" w:hAnsi="Calibri" w:cs="Calibri"/>
          <w:lang w:val="it-IT"/>
        </w:rPr>
        <w:t xml:space="preserve"> ha </w:t>
      </w:r>
      <w:r w:rsidR="00D774F3">
        <w:rPr>
          <w:rFonts w:ascii="Calibri" w:hAnsi="Calibri" w:cs="Calibri"/>
          <w:lang w:val="it-IT"/>
        </w:rPr>
        <w:t>cambiato</w:t>
      </w:r>
      <w:r w:rsidR="00CA3E03" w:rsidRPr="00266D8D">
        <w:rPr>
          <w:rFonts w:ascii="Calibri" w:hAnsi="Calibri" w:cs="Calibri"/>
          <w:lang w:val="it-IT"/>
        </w:rPr>
        <w:t xml:space="preserve"> il mondo</w:t>
      </w:r>
      <w:r w:rsidR="00F052C5" w:rsidRPr="00266D8D">
        <w:rPr>
          <w:rFonts w:ascii="Calibri" w:hAnsi="Calibri" w:cs="Calibri"/>
          <w:lang w:val="it-IT"/>
        </w:rPr>
        <w:t>,</w:t>
      </w:r>
      <w:r w:rsidR="00CA3E03" w:rsidRPr="00266D8D">
        <w:rPr>
          <w:rFonts w:ascii="Calibri" w:hAnsi="Calibri" w:cs="Calibri"/>
          <w:lang w:val="it-IT"/>
        </w:rPr>
        <w:t xml:space="preserve"> portandolo su</w:t>
      </w:r>
      <w:r w:rsidR="00F052C5" w:rsidRPr="00266D8D">
        <w:rPr>
          <w:rFonts w:ascii="Calibri" w:hAnsi="Calibri" w:cs="Calibri"/>
          <w:lang w:val="it-IT"/>
        </w:rPr>
        <w:t xml:space="preserve"> una strada diversa</w:t>
      </w:r>
      <w:r w:rsidR="00CA3E03" w:rsidRPr="00266D8D">
        <w:rPr>
          <w:rFonts w:ascii="Calibri" w:hAnsi="Calibri" w:cs="Calibri"/>
          <w:lang w:val="it-IT"/>
        </w:rPr>
        <w:t>, caratterizzat</w:t>
      </w:r>
      <w:r w:rsidR="00F052C5" w:rsidRPr="00266D8D">
        <w:rPr>
          <w:rFonts w:ascii="Calibri" w:hAnsi="Calibri" w:cs="Calibri"/>
          <w:lang w:val="it-IT"/>
        </w:rPr>
        <w:t>a</w:t>
      </w:r>
      <w:r w:rsidR="00CA3E03" w:rsidRPr="00266D8D">
        <w:rPr>
          <w:rFonts w:ascii="Calibri" w:hAnsi="Calibri" w:cs="Calibri"/>
          <w:lang w:val="it-IT"/>
        </w:rPr>
        <w:t xml:space="preserve"> da tassi più alti, inflazione più elevata e maggiore instabilità geopolitica. </w:t>
      </w:r>
    </w:p>
    <w:p w14:paraId="6E4DA65F" w14:textId="77777777" w:rsidR="00266D8D" w:rsidRPr="00266D8D" w:rsidRDefault="00266D8D" w:rsidP="00266D8D">
      <w:pPr>
        <w:pStyle w:val="Corpotesto"/>
        <w:ind w:left="0" w:right="180"/>
        <w:contextualSpacing/>
        <w:rPr>
          <w:rFonts w:ascii="Calibri" w:hAnsi="Calibri" w:cs="Calibri"/>
          <w:lang w:val="it-IT"/>
        </w:rPr>
      </w:pPr>
    </w:p>
    <w:p w14:paraId="20024509" w14:textId="4ED1881E" w:rsidR="00BF3162" w:rsidRPr="00266D8D" w:rsidRDefault="00D55343" w:rsidP="00266D8D">
      <w:pPr>
        <w:pStyle w:val="Corpotesto"/>
        <w:ind w:left="0" w:right="180"/>
        <w:contextualSpacing/>
        <w:rPr>
          <w:rFonts w:ascii="Calibri" w:hAnsi="Calibri" w:cs="Calibri"/>
          <w:lang w:val="it-IT"/>
        </w:rPr>
      </w:pPr>
      <w:r>
        <w:rPr>
          <w:rFonts w:ascii="Calibri" w:hAnsi="Calibri" w:cs="Calibri"/>
          <w:u w:val="single"/>
          <w:lang w:val="it-IT"/>
        </w:rPr>
        <w:t>Torna l’appeal sugli industriali</w:t>
      </w:r>
      <w:r w:rsidR="008770D0" w:rsidRPr="00266D8D">
        <w:rPr>
          <w:rFonts w:ascii="Calibri" w:hAnsi="Calibri" w:cs="Calibri"/>
          <w:lang w:val="it-IT"/>
        </w:rPr>
        <w:br/>
      </w:r>
      <w:r w:rsidR="009727AD" w:rsidRPr="00266D8D">
        <w:rPr>
          <w:rFonts w:ascii="Calibri" w:hAnsi="Calibri" w:cs="Calibri"/>
          <w:lang w:val="it-IT"/>
        </w:rPr>
        <w:t>Nell'ultimo anno</w:t>
      </w:r>
      <w:r w:rsidR="00F052C5" w:rsidRPr="00266D8D">
        <w:rPr>
          <w:rFonts w:ascii="Calibri" w:hAnsi="Calibri" w:cs="Calibri"/>
          <w:lang w:val="it-IT"/>
        </w:rPr>
        <w:t>,</w:t>
      </w:r>
      <w:r w:rsidR="009727AD" w:rsidRPr="00266D8D">
        <w:rPr>
          <w:rFonts w:ascii="Calibri" w:hAnsi="Calibri" w:cs="Calibri"/>
          <w:lang w:val="it-IT"/>
        </w:rPr>
        <w:t xml:space="preserve"> </w:t>
      </w:r>
      <w:r w:rsidR="009A5EFB">
        <w:rPr>
          <w:rFonts w:ascii="Calibri" w:hAnsi="Calibri" w:cs="Calibri"/>
          <w:lang w:val="it-IT"/>
        </w:rPr>
        <w:t>abbiamo</w:t>
      </w:r>
      <w:r w:rsidR="009727AD" w:rsidRPr="00266D8D">
        <w:rPr>
          <w:rFonts w:ascii="Calibri" w:hAnsi="Calibri" w:cs="Calibri"/>
          <w:lang w:val="it-IT"/>
        </w:rPr>
        <w:t xml:space="preserve"> sottopesato i titoli industriali</w:t>
      </w:r>
      <w:r w:rsidR="00F052C5" w:rsidRPr="00266D8D">
        <w:rPr>
          <w:rFonts w:ascii="Calibri" w:hAnsi="Calibri" w:cs="Calibri"/>
          <w:lang w:val="it-IT"/>
        </w:rPr>
        <w:t>,</w:t>
      </w:r>
      <w:r w:rsidR="009727AD" w:rsidRPr="00266D8D">
        <w:rPr>
          <w:rFonts w:ascii="Calibri" w:hAnsi="Calibri" w:cs="Calibri"/>
          <w:lang w:val="it-IT"/>
        </w:rPr>
        <w:t xml:space="preserve"> a causa del rallentamento della crescita post-pandemi</w:t>
      </w:r>
      <w:r w:rsidR="00D774F3">
        <w:rPr>
          <w:rFonts w:ascii="Calibri" w:hAnsi="Calibri" w:cs="Calibri"/>
          <w:lang w:val="it-IT"/>
        </w:rPr>
        <w:t>c</w:t>
      </w:r>
      <w:r w:rsidR="009727AD" w:rsidRPr="00266D8D">
        <w:rPr>
          <w:rFonts w:ascii="Calibri" w:hAnsi="Calibri" w:cs="Calibri"/>
          <w:lang w:val="it-IT"/>
        </w:rPr>
        <w:t>a e della contrazione del</w:t>
      </w:r>
      <w:r w:rsidR="00C11B2C" w:rsidRPr="00266D8D">
        <w:rPr>
          <w:rFonts w:ascii="Calibri" w:hAnsi="Calibri" w:cs="Calibri"/>
          <w:lang w:val="it-IT"/>
        </w:rPr>
        <w:t>l’indice</w:t>
      </w:r>
      <w:r w:rsidR="008770D0">
        <w:rPr>
          <w:rFonts w:ascii="Calibri" w:hAnsi="Calibri" w:cs="Calibri"/>
          <w:lang w:val="it-IT"/>
        </w:rPr>
        <w:t xml:space="preserve"> PMI dell’ISM</w:t>
      </w:r>
      <w:r w:rsidR="009727AD" w:rsidRPr="00266D8D">
        <w:rPr>
          <w:rFonts w:ascii="Calibri" w:hAnsi="Calibri" w:cs="Calibri"/>
          <w:lang w:val="it-IT"/>
        </w:rPr>
        <w:t>. L'uscita da</w:t>
      </w:r>
      <w:r w:rsidR="00F052C5" w:rsidRPr="00266D8D">
        <w:rPr>
          <w:rFonts w:ascii="Calibri" w:hAnsi="Calibri" w:cs="Calibri"/>
          <w:lang w:val="it-IT"/>
        </w:rPr>
        <w:t>l</w:t>
      </w:r>
      <w:r w:rsidR="009727AD" w:rsidRPr="00266D8D">
        <w:rPr>
          <w:rFonts w:ascii="Calibri" w:hAnsi="Calibri" w:cs="Calibri"/>
          <w:lang w:val="it-IT"/>
        </w:rPr>
        <w:t xml:space="preserve"> C</w:t>
      </w:r>
      <w:r w:rsidR="00C11B2C" w:rsidRPr="00266D8D">
        <w:rPr>
          <w:rFonts w:ascii="Calibri" w:hAnsi="Calibri" w:cs="Calibri"/>
          <w:lang w:val="it-IT"/>
        </w:rPr>
        <w:t>ovid</w:t>
      </w:r>
      <w:r w:rsidR="009727AD" w:rsidRPr="00266D8D">
        <w:rPr>
          <w:rFonts w:ascii="Calibri" w:hAnsi="Calibri" w:cs="Calibri"/>
          <w:lang w:val="it-IT"/>
        </w:rPr>
        <w:t xml:space="preserve"> ha avuto un impatto diverso </w:t>
      </w:r>
      <w:r w:rsidR="00F052C5" w:rsidRPr="00266D8D">
        <w:rPr>
          <w:rFonts w:ascii="Calibri" w:hAnsi="Calibri" w:cs="Calibri"/>
          <w:lang w:val="it-IT"/>
        </w:rPr>
        <w:t xml:space="preserve">nei </w:t>
      </w:r>
      <w:r w:rsidR="009A5EFB">
        <w:rPr>
          <w:rFonts w:ascii="Calibri" w:hAnsi="Calibri" w:cs="Calibri"/>
          <w:lang w:val="it-IT"/>
        </w:rPr>
        <w:t>vari</w:t>
      </w:r>
      <w:r w:rsidR="009A5EFB" w:rsidRPr="00266D8D">
        <w:rPr>
          <w:rFonts w:ascii="Calibri" w:hAnsi="Calibri" w:cs="Calibri"/>
          <w:lang w:val="it-IT"/>
        </w:rPr>
        <w:t xml:space="preserve"> </w:t>
      </w:r>
      <w:r w:rsidR="009727AD" w:rsidRPr="00266D8D">
        <w:rPr>
          <w:rFonts w:ascii="Calibri" w:hAnsi="Calibri" w:cs="Calibri"/>
          <w:lang w:val="it-IT"/>
        </w:rPr>
        <w:t>settori e all'interno dei settori stessi</w:t>
      </w:r>
      <w:r w:rsidR="0040356F">
        <w:rPr>
          <w:rFonts w:ascii="Calibri" w:hAnsi="Calibri" w:cs="Calibri"/>
          <w:lang w:val="it-IT"/>
        </w:rPr>
        <w:t xml:space="preserve">. Di recente, abbiamo </w:t>
      </w:r>
      <w:r w:rsidR="009727AD" w:rsidRPr="00266D8D">
        <w:rPr>
          <w:rFonts w:ascii="Calibri" w:hAnsi="Calibri" w:cs="Calibri"/>
          <w:lang w:val="it-IT"/>
        </w:rPr>
        <w:t xml:space="preserve">individuato una serie di opportunità in società </w:t>
      </w:r>
      <w:r w:rsidR="009A5EFB">
        <w:rPr>
          <w:rFonts w:ascii="Calibri" w:hAnsi="Calibri" w:cs="Calibri"/>
          <w:lang w:val="it-IT"/>
        </w:rPr>
        <w:t xml:space="preserve">industriali </w:t>
      </w:r>
      <w:r w:rsidR="009727AD" w:rsidRPr="00266D8D">
        <w:rPr>
          <w:rFonts w:ascii="Calibri" w:hAnsi="Calibri" w:cs="Calibri"/>
          <w:lang w:val="it-IT"/>
        </w:rPr>
        <w:t xml:space="preserve">di elevata qualità </w:t>
      </w:r>
      <w:r w:rsidR="00F052C5" w:rsidRPr="00266D8D">
        <w:rPr>
          <w:rFonts w:ascii="Calibri" w:hAnsi="Calibri" w:cs="Calibri"/>
          <w:lang w:val="it-IT"/>
        </w:rPr>
        <w:t>in grado di adattarsi</w:t>
      </w:r>
      <w:r w:rsidR="009727AD" w:rsidRPr="00266D8D">
        <w:rPr>
          <w:rFonts w:ascii="Calibri" w:hAnsi="Calibri" w:cs="Calibri"/>
          <w:lang w:val="it-IT"/>
        </w:rPr>
        <w:t xml:space="preserve"> al quadro di miglioramento dei ricavi.</w:t>
      </w:r>
      <w:r w:rsidR="008770D0" w:rsidRPr="00266D8D">
        <w:rPr>
          <w:rFonts w:ascii="Calibri" w:hAnsi="Calibri" w:cs="Calibri"/>
          <w:lang w:val="it-IT"/>
        </w:rPr>
        <w:t xml:space="preserve"> </w:t>
      </w:r>
      <w:r w:rsidR="00F039E5" w:rsidRPr="00266D8D">
        <w:rPr>
          <w:rFonts w:ascii="Calibri" w:hAnsi="Calibri" w:cs="Calibri"/>
          <w:lang w:val="it-IT"/>
        </w:rPr>
        <w:t>Tra queste figurano</w:t>
      </w:r>
      <w:r w:rsidR="0040356F">
        <w:rPr>
          <w:rFonts w:ascii="Calibri" w:hAnsi="Calibri" w:cs="Calibri"/>
          <w:lang w:val="it-IT"/>
        </w:rPr>
        <w:t>:</w:t>
      </w:r>
      <w:r w:rsidR="00F039E5" w:rsidRPr="00266D8D">
        <w:rPr>
          <w:rFonts w:ascii="Calibri" w:hAnsi="Calibri" w:cs="Calibri"/>
          <w:lang w:val="it-IT"/>
        </w:rPr>
        <w:t xml:space="preserve"> </w:t>
      </w:r>
      <w:r w:rsidR="00F039E5" w:rsidRPr="00266D8D">
        <w:rPr>
          <w:rFonts w:ascii="Calibri" w:hAnsi="Calibri" w:cs="Calibri"/>
          <w:b/>
          <w:bCs/>
          <w:lang w:val="it-IT"/>
        </w:rPr>
        <w:t>Old Dominion Freight Line</w:t>
      </w:r>
      <w:r w:rsidR="00F039E5" w:rsidRPr="00266D8D">
        <w:rPr>
          <w:rFonts w:ascii="Calibri" w:hAnsi="Calibri" w:cs="Calibri"/>
          <w:lang w:val="it-IT"/>
        </w:rPr>
        <w:t xml:space="preserve"> (trasporto merci a carico parziale), </w:t>
      </w:r>
      <w:r w:rsidR="00F039E5" w:rsidRPr="00266D8D">
        <w:rPr>
          <w:rFonts w:ascii="Calibri" w:hAnsi="Calibri" w:cs="Calibri"/>
          <w:b/>
          <w:bCs/>
          <w:lang w:val="it-IT"/>
        </w:rPr>
        <w:t>Canadian Pacific Kansas City</w:t>
      </w:r>
      <w:r w:rsidR="00F039E5" w:rsidRPr="00266D8D">
        <w:rPr>
          <w:rFonts w:ascii="Calibri" w:hAnsi="Calibri" w:cs="Calibri"/>
          <w:lang w:val="it-IT"/>
        </w:rPr>
        <w:t xml:space="preserve"> (ferrovi</w:t>
      </w:r>
      <w:r w:rsidR="009708D3" w:rsidRPr="00266D8D">
        <w:rPr>
          <w:rFonts w:ascii="Calibri" w:hAnsi="Calibri" w:cs="Calibri"/>
          <w:lang w:val="it-IT"/>
        </w:rPr>
        <w:t>e</w:t>
      </w:r>
      <w:r w:rsidR="00F039E5" w:rsidRPr="00266D8D">
        <w:rPr>
          <w:rFonts w:ascii="Calibri" w:hAnsi="Calibri" w:cs="Calibri"/>
          <w:lang w:val="it-IT"/>
        </w:rPr>
        <w:t xml:space="preserve">), </w:t>
      </w:r>
      <w:r w:rsidR="00F039E5" w:rsidRPr="00266D8D">
        <w:rPr>
          <w:rFonts w:ascii="Calibri" w:hAnsi="Calibri" w:cs="Calibri"/>
          <w:b/>
          <w:bCs/>
          <w:lang w:val="it-IT"/>
        </w:rPr>
        <w:t>Keyence</w:t>
      </w:r>
      <w:r w:rsidR="00F039E5" w:rsidRPr="00266D8D">
        <w:rPr>
          <w:rFonts w:ascii="Calibri" w:hAnsi="Calibri" w:cs="Calibri"/>
          <w:lang w:val="it-IT"/>
        </w:rPr>
        <w:t xml:space="preserve"> (automazione industriale) e </w:t>
      </w:r>
      <w:r w:rsidR="00F039E5" w:rsidRPr="00266D8D">
        <w:rPr>
          <w:rFonts w:ascii="Calibri" w:hAnsi="Calibri" w:cs="Calibri"/>
          <w:b/>
          <w:bCs/>
          <w:lang w:val="it-IT"/>
        </w:rPr>
        <w:t>Amphenol</w:t>
      </w:r>
      <w:r w:rsidR="00F039E5" w:rsidRPr="00266D8D">
        <w:rPr>
          <w:rFonts w:ascii="Calibri" w:hAnsi="Calibri" w:cs="Calibri"/>
          <w:lang w:val="it-IT"/>
        </w:rPr>
        <w:t xml:space="preserve"> (azienda leader nel settore dei connettori</w:t>
      </w:r>
      <w:r w:rsidR="00F052C5" w:rsidRPr="00266D8D">
        <w:rPr>
          <w:rFonts w:ascii="Calibri" w:hAnsi="Calibri" w:cs="Calibri"/>
          <w:lang w:val="it-IT"/>
        </w:rPr>
        <w:t>,</w:t>
      </w:r>
      <w:r w:rsidR="00F039E5" w:rsidRPr="00266D8D">
        <w:rPr>
          <w:rFonts w:ascii="Calibri" w:hAnsi="Calibri" w:cs="Calibri"/>
          <w:lang w:val="it-IT"/>
        </w:rPr>
        <w:t xml:space="preserve"> con circa il 20% d</w:t>
      </w:r>
      <w:r w:rsidR="00F052C5" w:rsidRPr="00266D8D">
        <w:rPr>
          <w:rFonts w:ascii="Calibri" w:hAnsi="Calibri" w:cs="Calibri"/>
          <w:lang w:val="it-IT"/>
        </w:rPr>
        <w:t>e</w:t>
      </w:r>
      <w:r w:rsidR="00F039E5" w:rsidRPr="00266D8D">
        <w:rPr>
          <w:rFonts w:ascii="Calibri" w:hAnsi="Calibri" w:cs="Calibri"/>
          <w:lang w:val="it-IT"/>
        </w:rPr>
        <w:t xml:space="preserve">i ricavi esposti ai centri </w:t>
      </w:r>
      <w:r w:rsidR="00F052C5" w:rsidRPr="00266D8D">
        <w:rPr>
          <w:rFonts w:ascii="Calibri" w:hAnsi="Calibri" w:cs="Calibri"/>
          <w:lang w:val="it-IT"/>
        </w:rPr>
        <w:t xml:space="preserve">di elaborazione dei </w:t>
      </w:r>
      <w:r w:rsidR="00F039E5" w:rsidRPr="00266D8D">
        <w:rPr>
          <w:rFonts w:ascii="Calibri" w:hAnsi="Calibri" w:cs="Calibri"/>
          <w:lang w:val="it-IT"/>
        </w:rPr>
        <w:t>dati).</w:t>
      </w:r>
      <w:r>
        <w:rPr>
          <w:rFonts w:ascii="Calibri" w:hAnsi="Calibri" w:cs="Calibri"/>
          <w:lang w:val="it-IT"/>
        </w:rPr>
        <w:t xml:space="preserve"> </w:t>
      </w:r>
      <w:r w:rsidR="00C11B2C" w:rsidRPr="00266D8D">
        <w:rPr>
          <w:rFonts w:ascii="Calibri" w:hAnsi="Calibri" w:cs="Calibri"/>
          <w:b/>
          <w:bCs/>
          <w:lang w:val="it-IT"/>
        </w:rPr>
        <w:t>Ci</w:t>
      </w:r>
      <w:r w:rsidR="00CB2AA7" w:rsidRPr="00266D8D">
        <w:rPr>
          <w:rFonts w:ascii="Calibri" w:hAnsi="Calibri" w:cs="Calibri"/>
          <w:b/>
          <w:bCs/>
          <w:lang w:val="it-IT"/>
        </w:rPr>
        <w:t xml:space="preserve"> troviamo in un momento interessante per i titoli industriali, in quanto una serie di dinamiche secolari, come l'elettrificazione e l'automazione, coincidono con un assetto ciclico favorevole</w:t>
      </w:r>
      <w:r w:rsidR="00CB2AA7" w:rsidRPr="00266D8D">
        <w:rPr>
          <w:rFonts w:ascii="Calibri" w:hAnsi="Calibri" w:cs="Calibri"/>
          <w:lang w:val="it-IT"/>
        </w:rPr>
        <w:t xml:space="preserve">, che storicamente ha rappresentato un interessante </w:t>
      </w:r>
      <w:r w:rsidR="00F052C5" w:rsidRPr="00266D8D">
        <w:rPr>
          <w:rFonts w:ascii="Calibri" w:hAnsi="Calibri" w:cs="Calibri"/>
          <w:lang w:val="it-IT"/>
        </w:rPr>
        <w:t xml:space="preserve">contesto </w:t>
      </w:r>
      <w:r w:rsidR="00CB2AA7" w:rsidRPr="00266D8D">
        <w:rPr>
          <w:rFonts w:ascii="Calibri" w:hAnsi="Calibri" w:cs="Calibri"/>
          <w:lang w:val="it-IT"/>
        </w:rPr>
        <w:t>per</w:t>
      </w:r>
      <w:r w:rsidR="00F052C5" w:rsidRPr="00266D8D">
        <w:rPr>
          <w:rFonts w:ascii="Calibri" w:hAnsi="Calibri" w:cs="Calibri"/>
          <w:lang w:val="it-IT"/>
        </w:rPr>
        <w:t xml:space="preserve"> detenere </w:t>
      </w:r>
      <w:r w:rsidR="00D774F3">
        <w:rPr>
          <w:rFonts w:ascii="Calibri" w:hAnsi="Calibri" w:cs="Calibri"/>
          <w:lang w:val="it-IT"/>
        </w:rPr>
        <w:t>questo</w:t>
      </w:r>
      <w:r w:rsidR="00CB2AA7" w:rsidRPr="00266D8D">
        <w:rPr>
          <w:rFonts w:ascii="Calibri" w:hAnsi="Calibri" w:cs="Calibri"/>
          <w:lang w:val="it-IT"/>
        </w:rPr>
        <w:t xml:space="preserve"> settore</w:t>
      </w:r>
      <w:r w:rsidR="00F052C5" w:rsidRPr="00266D8D">
        <w:rPr>
          <w:rFonts w:ascii="Calibri" w:hAnsi="Calibri" w:cs="Calibri"/>
          <w:lang w:val="it-IT"/>
        </w:rPr>
        <w:t xml:space="preserve"> in portafoglio</w:t>
      </w:r>
      <w:r w:rsidR="00CB2AA7" w:rsidRPr="00266D8D">
        <w:rPr>
          <w:rFonts w:ascii="Calibri" w:hAnsi="Calibri" w:cs="Calibri"/>
          <w:lang w:val="it-IT"/>
        </w:rPr>
        <w:t xml:space="preserve">. </w:t>
      </w:r>
      <w:r>
        <w:rPr>
          <w:rFonts w:ascii="Calibri" w:hAnsi="Calibri" w:cs="Calibri"/>
          <w:lang w:val="it-IT"/>
        </w:rPr>
        <w:br/>
      </w:r>
      <w:r>
        <w:rPr>
          <w:rFonts w:ascii="Calibri" w:hAnsi="Calibri" w:cs="Calibri"/>
          <w:lang w:val="it-IT"/>
        </w:rPr>
        <w:br/>
      </w:r>
      <w:r w:rsidR="009A5EFB">
        <w:rPr>
          <w:rFonts w:ascii="Calibri" w:hAnsi="Calibri" w:cs="Calibri"/>
          <w:b/>
          <w:bCs/>
          <w:lang w:val="it-IT"/>
        </w:rPr>
        <w:t xml:space="preserve">Sul fronte economico, siamo positivi in merito alla ripresa, poiché i </w:t>
      </w:r>
      <w:r w:rsidR="00CB2AA7" w:rsidRPr="00266D8D">
        <w:rPr>
          <w:rFonts w:ascii="Calibri" w:hAnsi="Calibri" w:cs="Calibri"/>
          <w:b/>
          <w:bCs/>
          <w:lang w:val="it-IT"/>
        </w:rPr>
        <w:t xml:space="preserve">dati economici hanno iniziato a stabilizzarsi e a normalizzarsi dopo il </w:t>
      </w:r>
      <w:r w:rsidR="00C11B2C" w:rsidRPr="00266D8D">
        <w:rPr>
          <w:rFonts w:ascii="Calibri" w:hAnsi="Calibri" w:cs="Calibri"/>
          <w:b/>
          <w:bCs/>
          <w:lang w:val="it-IT"/>
        </w:rPr>
        <w:t>Covid</w:t>
      </w:r>
      <w:r w:rsidR="00CB2AA7" w:rsidRPr="00266D8D">
        <w:rPr>
          <w:rFonts w:ascii="Calibri" w:hAnsi="Calibri" w:cs="Calibri"/>
          <w:b/>
          <w:bCs/>
          <w:lang w:val="it-IT"/>
        </w:rPr>
        <w:t>.</w:t>
      </w:r>
      <w:r w:rsidR="00CB2AA7" w:rsidRPr="00266D8D">
        <w:rPr>
          <w:rFonts w:ascii="Calibri" w:hAnsi="Calibri" w:cs="Calibri"/>
          <w:lang w:val="it-IT"/>
        </w:rPr>
        <w:t xml:space="preserve"> Anche la Cina si è in qualche modo stabilizzata</w:t>
      </w:r>
      <w:r w:rsidR="009523A9">
        <w:rPr>
          <w:rFonts w:ascii="Calibri" w:hAnsi="Calibri" w:cs="Calibri"/>
          <w:lang w:val="it-IT"/>
        </w:rPr>
        <w:t>:</w:t>
      </w:r>
      <w:r w:rsidR="00CB2AA7" w:rsidRPr="00266D8D">
        <w:rPr>
          <w:rFonts w:ascii="Calibri" w:hAnsi="Calibri" w:cs="Calibri"/>
          <w:lang w:val="it-IT"/>
        </w:rPr>
        <w:t xml:space="preserve"> </w:t>
      </w:r>
      <w:r w:rsidR="009523A9">
        <w:rPr>
          <w:rFonts w:ascii="Calibri" w:hAnsi="Calibri" w:cs="Calibri"/>
          <w:lang w:val="it-IT"/>
        </w:rPr>
        <w:t xml:space="preserve">ha perso </w:t>
      </w:r>
      <w:r w:rsidR="00565064" w:rsidRPr="00266D8D">
        <w:rPr>
          <w:rFonts w:ascii="Calibri" w:hAnsi="Calibri" w:cs="Calibri"/>
          <w:lang w:val="it-IT"/>
        </w:rPr>
        <w:t xml:space="preserve">appeal </w:t>
      </w:r>
      <w:r w:rsidR="00CB2AA7" w:rsidRPr="00266D8D">
        <w:rPr>
          <w:rFonts w:ascii="Calibri" w:hAnsi="Calibri" w:cs="Calibri"/>
          <w:lang w:val="it-IT"/>
        </w:rPr>
        <w:t xml:space="preserve">e si è mantenuta </w:t>
      </w:r>
      <w:r w:rsidR="00F052C5" w:rsidRPr="00266D8D">
        <w:rPr>
          <w:rFonts w:ascii="Calibri" w:hAnsi="Calibri" w:cs="Calibri"/>
          <w:lang w:val="it-IT"/>
        </w:rPr>
        <w:t>a</w:t>
      </w:r>
      <w:r w:rsidR="00565064" w:rsidRPr="00266D8D">
        <w:rPr>
          <w:rFonts w:ascii="Calibri" w:hAnsi="Calibri" w:cs="Calibri"/>
          <w:lang w:val="it-IT"/>
        </w:rPr>
        <w:t xml:space="preserve"> livelli poco elevati</w:t>
      </w:r>
      <w:r w:rsidR="009523A9">
        <w:rPr>
          <w:rFonts w:ascii="Calibri" w:hAnsi="Calibri" w:cs="Calibri"/>
          <w:lang w:val="it-IT"/>
        </w:rPr>
        <w:t xml:space="preserve">, e </w:t>
      </w:r>
      <w:r w:rsidR="00F27D64" w:rsidRPr="00266D8D">
        <w:rPr>
          <w:rFonts w:ascii="Calibri" w:hAnsi="Calibri" w:cs="Calibri"/>
          <w:lang w:val="it-IT"/>
        </w:rPr>
        <w:t xml:space="preserve">non rappresenta più un vero problema </w:t>
      </w:r>
      <w:r w:rsidR="00CB2AA7" w:rsidRPr="00266D8D">
        <w:rPr>
          <w:rFonts w:ascii="Calibri" w:hAnsi="Calibri" w:cs="Calibri"/>
          <w:lang w:val="it-IT"/>
        </w:rPr>
        <w:t xml:space="preserve">per molte </w:t>
      </w:r>
      <w:r w:rsidR="00F27D64" w:rsidRPr="00266D8D">
        <w:rPr>
          <w:rFonts w:ascii="Calibri" w:hAnsi="Calibri" w:cs="Calibri"/>
          <w:lang w:val="it-IT"/>
        </w:rPr>
        <w:t>società</w:t>
      </w:r>
      <w:r w:rsidR="00CB2AA7" w:rsidRPr="00266D8D">
        <w:rPr>
          <w:rFonts w:ascii="Calibri" w:hAnsi="Calibri" w:cs="Calibri"/>
          <w:lang w:val="it-IT"/>
        </w:rPr>
        <w:t>.</w:t>
      </w:r>
      <w:r>
        <w:rPr>
          <w:rFonts w:ascii="Calibri" w:hAnsi="Calibri" w:cs="Calibri"/>
          <w:lang w:val="it-IT"/>
        </w:rPr>
        <w:t xml:space="preserve"> L</w:t>
      </w:r>
      <w:r w:rsidR="00BF3162" w:rsidRPr="00266D8D">
        <w:rPr>
          <w:rFonts w:ascii="Calibri" w:hAnsi="Calibri" w:cs="Calibri"/>
          <w:lang w:val="it-IT"/>
        </w:rPr>
        <w:t xml:space="preserve">'ISM </w:t>
      </w:r>
      <w:r w:rsidR="00F052C5" w:rsidRPr="00266D8D">
        <w:rPr>
          <w:rFonts w:ascii="Calibri" w:hAnsi="Calibri" w:cs="Calibri"/>
          <w:lang w:val="it-IT"/>
        </w:rPr>
        <w:t xml:space="preserve">nel comparto manifatturiero </w:t>
      </w:r>
      <w:r w:rsidR="00BF3162" w:rsidRPr="00266D8D">
        <w:rPr>
          <w:rFonts w:ascii="Calibri" w:hAnsi="Calibri" w:cs="Calibri"/>
          <w:lang w:val="it-IT"/>
        </w:rPr>
        <w:t xml:space="preserve">si è attestato </w:t>
      </w:r>
      <w:r w:rsidR="009523A9">
        <w:rPr>
          <w:rFonts w:ascii="Calibri" w:hAnsi="Calibri" w:cs="Calibri"/>
          <w:lang w:val="it-IT"/>
        </w:rPr>
        <w:t>sotto il livello di 50</w:t>
      </w:r>
      <w:r w:rsidR="00BF3162" w:rsidRPr="00266D8D">
        <w:rPr>
          <w:rFonts w:ascii="Calibri" w:hAnsi="Calibri" w:cs="Calibri"/>
          <w:lang w:val="it-IT"/>
        </w:rPr>
        <w:t xml:space="preserve"> negli ultimi 16 mesi, </w:t>
      </w:r>
      <w:r w:rsidR="00F052C5" w:rsidRPr="00266D8D">
        <w:rPr>
          <w:rFonts w:ascii="Calibri" w:hAnsi="Calibri" w:cs="Calibri"/>
          <w:lang w:val="it-IT"/>
        </w:rPr>
        <w:t>attestando</w:t>
      </w:r>
      <w:r w:rsidR="00BF3162" w:rsidRPr="00266D8D">
        <w:rPr>
          <w:rFonts w:ascii="Calibri" w:hAnsi="Calibri" w:cs="Calibri"/>
          <w:lang w:val="it-IT"/>
        </w:rPr>
        <w:t xml:space="preserve"> il ciclo negativo più lungo in oltre 20 anni</w:t>
      </w:r>
      <w:r w:rsidR="00F052C5" w:rsidRPr="00266D8D">
        <w:rPr>
          <w:rFonts w:ascii="Calibri" w:hAnsi="Calibri" w:cs="Calibri"/>
          <w:lang w:val="it-IT"/>
        </w:rPr>
        <w:t>,</w:t>
      </w:r>
      <w:r w:rsidR="00BF3162" w:rsidRPr="00266D8D">
        <w:rPr>
          <w:rFonts w:ascii="Calibri" w:hAnsi="Calibri" w:cs="Calibri"/>
          <w:lang w:val="it-IT"/>
        </w:rPr>
        <w:t xml:space="preserve"> </w:t>
      </w:r>
      <w:r w:rsidR="00F052C5" w:rsidRPr="00266D8D">
        <w:rPr>
          <w:rFonts w:ascii="Calibri" w:hAnsi="Calibri" w:cs="Calibri"/>
          <w:lang w:val="it-IT"/>
        </w:rPr>
        <w:t>che</w:t>
      </w:r>
      <w:r w:rsidR="00BF3162" w:rsidRPr="00266D8D">
        <w:rPr>
          <w:rFonts w:ascii="Calibri" w:hAnsi="Calibri" w:cs="Calibri"/>
          <w:lang w:val="it-IT"/>
        </w:rPr>
        <w:t xml:space="preserve"> è </w:t>
      </w:r>
      <w:r w:rsidR="00F052C5" w:rsidRPr="00266D8D">
        <w:rPr>
          <w:rFonts w:ascii="Calibri" w:hAnsi="Calibri" w:cs="Calibri"/>
          <w:lang w:val="it-IT"/>
        </w:rPr>
        <w:t xml:space="preserve">altresì </w:t>
      </w:r>
      <w:r w:rsidR="00BF3162" w:rsidRPr="00266D8D">
        <w:rPr>
          <w:rFonts w:ascii="Calibri" w:hAnsi="Calibri" w:cs="Calibri"/>
          <w:lang w:val="it-IT"/>
        </w:rPr>
        <w:t>destinato a essere il terzo ciclo negativo più consistente dalla fine degli anni Quaranta. I nuovi ordin</w:t>
      </w:r>
      <w:r w:rsidR="00666FDE">
        <w:rPr>
          <w:rFonts w:ascii="Calibri" w:hAnsi="Calibri" w:cs="Calibri"/>
          <w:lang w:val="it-IT"/>
        </w:rPr>
        <w:t>ativi</w:t>
      </w:r>
      <w:r w:rsidR="00BF3162" w:rsidRPr="00266D8D">
        <w:rPr>
          <w:rFonts w:ascii="Calibri" w:hAnsi="Calibri" w:cs="Calibri"/>
          <w:lang w:val="it-IT"/>
        </w:rPr>
        <w:t>, un</w:t>
      </w:r>
      <w:r w:rsidR="00DF2664" w:rsidRPr="00266D8D">
        <w:rPr>
          <w:rFonts w:ascii="Calibri" w:hAnsi="Calibri" w:cs="Calibri"/>
          <w:lang w:val="it-IT"/>
        </w:rPr>
        <w:t xml:space="preserve"> </w:t>
      </w:r>
      <w:r w:rsidR="00BF3162" w:rsidRPr="00266D8D">
        <w:rPr>
          <w:rFonts w:ascii="Calibri" w:hAnsi="Calibri" w:cs="Calibri"/>
          <w:lang w:val="it-IT"/>
        </w:rPr>
        <w:t xml:space="preserve">sottocomponente dell'indice, </w:t>
      </w:r>
      <w:r w:rsidR="00EA0EC1" w:rsidRPr="00266D8D">
        <w:rPr>
          <w:rFonts w:ascii="Calibri" w:hAnsi="Calibri" w:cs="Calibri"/>
          <w:lang w:val="it-IT"/>
        </w:rPr>
        <w:t>hanno</w:t>
      </w:r>
      <w:r w:rsidR="00BF3162" w:rsidRPr="00266D8D">
        <w:rPr>
          <w:rFonts w:ascii="Calibri" w:hAnsi="Calibri" w:cs="Calibri"/>
          <w:lang w:val="it-IT"/>
        </w:rPr>
        <w:t xml:space="preserve"> evidenziato un</w:t>
      </w:r>
      <w:r w:rsidR="00F052C5" w:rsidRPr="00266D8D">
        <w:rPr>
          <w:rFonts w:ascii="Calibri" w:hAnsi="Calibri" w:cs="Calibri"/>
          <w:lang w:val="it-IT"/>
        </w:rPr>
        <w:t>a svolta</w:t>
      </w:r>
      <w:r w:rsidR="00BF3162" w:rsidRPr="00266D8D">
        <w:rPr>
          <w:rFonts w:ascii="Calibri" w:hAnsi="Calibri" w:cs="Calibri"/>
          <w:lang w:val="it-IT"/>
        </w:rPr>
        <w:t xml:space="preserve"> positiva a gennaio e suggeriscono che potremmo essere vicini a un punto d’inflessione</w:t>
      </w:r>
      <w:r w:rsidR="00F339C2" w:rsidRPr="00266D8D">
        <w:rPr>
          <w:rFonts w:ascii="Calibri" w:hAnsi="Calibri" w:cs="Calibri"/>
          <w:lang w:val="it-IT"/>
        </w:rPr>
        <w:t>.</w:t>
      </w:r>
      <w:r w:rsidR="008770D0" w:rsidRPr="00266D8D">
        <w:rPr>
          <w:rFonts w:ascii="Calibri" w:hAnsi="Calibri" w:cs="Calibri"/>
          <w:lang w:val="it-IT"/>
        </w:rPr>
        <w:t xml:space="preserve"> </w:t>
      </w:r>
      <w:r w:rsidR="00BF3162" w:rsidRPr="00266D8D">
        <w:rPr>
          <w:rFonts w:ascii="Calibri" w:hAnsi="Calibri" w:cs="Calibri"/>
          <w:lang w:val="it-IT"/>
        </w:rPr>
        <w:t xml:space="preserve">Tutto questo è in linea coi commenti di diverse aziende attive nei trasporti e </w:t>
      </w:r>
      <w:r w:rsidR="009523A9">
        <w:rPr>
          <w:rFonts w:ascii="Calibri" w:hAnsi="Calibri" w:cs="Calibri"/>
          <w:lang w:val="it-IT"/>
        </w:rPr>
        <w:t xml:space="preserve">quelle </w:t>
      </w:r>
      <w:r w:rsidR="00BF3162" w:rsidRPr="00266D8D">
        <w:rPr>
          <w:rFonts w:ascii="Calibri" w:hAnsi="Calibri" w:cs="Calibri"/>
          <w:lang w:val="it-IT"/>
        </w:rPr>
        <w:t>a ciclo breve</w:t>
      </w:r>
      <w:r w:rsidR="009523A9">
        <w:rPr>
          <w:rFonts w:ascii="Calibri" w:hAnsi="Calibri" w:cs="Calibri"/>
          <w:lang w:val="it-IT"/>
        </w:rPr>
        <w:t xml:space="preserve"> (</w:t>
      </w:r>
      <w:r w:rsidR="009523A9" w:rsidRPr="009523A9">
        <w:rPr>
          <w:rFonts w:ascii="Calibri" w:hAnsi="Calibri" w:cs="Calibri"/>
          <w:lang w:val="it-IT"/>
        </w:rPr>
        <w:t>che sostituiscono rapidamente una grande quantità di scorte a basso prezzo</w:t>
      </w:r>
      <w:r w:rsidR="009523A9">
        <w:rPr>
          <w:rFonts w:ascii="Calibri" w:hAnsi="Calibri" w:cs="Calibri"/>
          <w:lang w:val="it-IT"/>
        </w:rPr>
        <w:t>)</w:t>
      </w:r>
      <w:r w:rsidR="00BF3162" w:rsidRPr="00266D8D">
        <w:rPr>
          <w:rFonts w:ascii="Calibri" w:hAnsi="Calibri" w:cs="Calibri"/>
          <w:lang w:val="it-IT"/>
        </w:rPr>
        <w:t xml:space="preserve">, </w:t>
      </w:r>
      <w:r w:rsidR="00253292" w:rsidRPr="00266D8D">
        <w:rPr>
          <w:rFonts w:ascii="Calibri" w:hAnsi="Calibri" w:cs="Calibri"/>
          <w:lang w:val="it-IT"/>
        </w:rPr>
        <w:t>da cui trapela</w:t>
      </w:r>
      <w:r w:rsidR="00BF3162" w:rsidRPr="00266D8D">
        <w:rPr>
          <w:rFonts w:ascii="Calibri" w:hAnsi="Calibri" w:cs="Calibri"/>
          <w:lang w:val="it-IT"/>
        </w:rPr>
        <w:t xml:space="preserve"> </w:t>
      </w:r>
      <w:r w:rsidR="00BF3162" w:rsidRPr="00266D8D">
        <w:rPr>
          <w:rFonts w:ascii="Calibri" w:hAnsi="Calibri" w:cs="Calibri"/>
          <w:b/>
          <w:bCs/>
          <w:lang w:val="it-IT"/>
        </w:rPr>
        <w:t xml:space="preserve">ottimismo </w:t>
      </w:r>
      <w:r w:rsidR="00253292" w:rsidRPr="00266D8D">
        <w:rPr>
          <w:rFonts w:ascii="Calibri" w:hAnsi="Calibri" w:cs="Calibri"/>
          <w:b/>
          <w:bCs/>
          <w:lang w:val="it-IT"/>
        </w:rPr>
        <w:t>nell’ambito di diversi</w:t>
      </w:r>
      <w:r w:rsidR="00BF3162" w:rsidRPr="00266D8D">
        <w:rPr>
          <w:rFonts w:ascii="Calibri" w:hAnsi="Calibri" w:cs="Calibri"/>
          <w:b/>
          <w:bCs/>
          <w:lang w:val="it-IT"/>
        </w:rPr>
        <w:t xml:space="preserve"> mercati finali </w:t>
      </w:r>
      <w:r w:rsidR="00253292" w:rsidRPr="00266D8D">
        <w:rPr>
          <w:rFonts w:ascii="Calibri" w:hAnsi="Calibri" w:cs="Calibri"/>
          <w:b/>
          <w:bCs/>
          <w:lang w:val="it-IT"/>
        </w:rPr>
        <w:t xml:space="preserve">che </w:t>
      </w:r>
      <w:r w:rsidR="00EA0EC1" w:rsidRPr="00266D8D">
        <w:rPr>
          <w:rFonts w:ascii="Calibri" w:hAnsi="Calibri" w:cs="Calibri"/>
          <w:b/>
          <w:bCs/>
          <w:lang w:val="it-IT"/>
        </w:rPr>
        <w:t>spaziano</w:t>
      </w:r>
      <w:r w:rsidR="00BF3162" w:rsidRPr="00266D8D">
        <w:rPr>
          <w:rFonts w:ascii="Calibri" w:hAnsi="Calibri" w:cs="Calibri"/>
          <w:b/>
          <w:bCs/>
          <w:lang w:val="it-IT"/>
        </w:rPr>
        <w:t xml:space="preserve"> dall</w:t>
      </w:r>
      <w:r w:rsidR="00253292" w:rsidRPr="00266D8D">
        <w:rPr>
          <w:rFonts w:ascii="Calibri" w:hAnsi="Calibri" w:cs="Calibri"/>
          <w:b/>
          <w:bCs/>
          <w:lang w:val="it-IT"/>
        </w:rPr>
        <w:t>e</w:t>
      </w:r>
      <w:r w:rsidR="00BF3162" w:rsidRPr="00266D8D">
        <w:rPr>
          <w:rFonts w:ascii="Calibri" w:hAnsi="Calibri" w:cs="Calibri"/>
          <w:b/>
          <w:bCs/>
          <w:lang w:val="it-IT"/>
        </w:rPr>
        <w:t xml:space="preserve"> vendit</w:t>
      </w:r>
      <w:r w:rsidR="00253292" w:rsidRPr="00266D8D">
        <w:rPr>
          <w:rFonts w:ascii="Calibri" w:hAnsi="Calibri" w:cs="Calibri"/>
          <w:b/>
          <w:bCs/>
          <w:lang w:val="it-IT"/>
        </w:rPr>
        <w:t>e</w:t>
      </w:r>
      <w:r w:rsidR="00BF3162" w:rsidRPr="00266D8D">
        <w:rPr>
          <w:rFonts w:ascii="Calibri" w:hAnsi="Calibri" w:cs="Calibri"/>
          <w:b/>
          <w:bCs/>
          <w:lang w:val="it-IT"/>
        </w:rPr>
        <w:t xml:space="preserve"> al dettaglio al</w:t>
      </w:r>
      <w:r w:rsidR="00EA0EC1" w:rsidRPr="00266D8D">
        <w:rPr>
          <w:rFonts w:ascii="Calibri" w:hAnsi="Calibri" w:cs="Calibri"/>
          <w:b/>
          <w:bCs/>
          <w:lang w:val="it-IT"/>
        </w:rPr>
        <w:t xml:space="preserve"> comparto </w:t>
      </w:r>
      <w:r w:rsidR="00BF3162" w:rsidRPr="00266D8D">
        <w:rPr>
          <w:rFonts w:ascii="Calibri" w:hAnsi="Calibri" w:cs="Calibri"/>
          <w:b/>
          <w:bCs/>
          <w:lang w:val="it-IT"/>
        </w:rPr>
        <w:t>industria</w:t>
      </w:r>
      <w:r w:rsidR="00EA0EC1" w:rsidRPr="00266D8D">
        <w:rPr>
          <w:rFonts w:ascii="Calibri" w:hAnsi="Calibri" w:cs="Calibri"/>
          <w:b/>
          <w:bCs/>
          <w:lang w:val="it-IT"/>
        </w:rPr>
        <w:t>le</w:t>
      </w:r>
      <w:r w:rsidR="00BF3162" w:rsidRPr="00266D8D">
        <w:rPr>
          <w:rFonts w:ascii="Calibri" w:hAnsi="Calibri" w:cs="Calibri"/>
          <w:lang w:val="it-IT"/>
        </w:rPr>
        <w:t>.</w:t>
      </w:r>
    </w:p>
    <w:p w14:paraId="2AE9E636" w14:textId="1801265A" w:rsidR="000E5319" w:rsidRDefault="00F10764" w:rsidP="00266D8D">
      <w:pPr>
        <w:pStyle w:val="Corpotesto"/>
        <w:ind w:left="0" w:right="166"/>
        <w:contextualSpacing/>
        <w:rPr>
          <w:rFonts w:ascii="Calibri" w:hAnsi="Calibri" w:cs="Calibri"/>
          <w:lang w:val="it-IT"/>
        </w:rPr>
      </w:pPr>
      <w:r>
        <w:rPr>
          <w:rFonts w:ascii="Calibri" w:hAnsi="Calibri" w:cs="Calibri"/>
          <w:u w:val="single"/>
          <w:lang w:val="it-IT"/>
        </w:rPr>
        <w:br/>
      </w:r>
      <w:r w:rsidR="00EA0EC1" w:rsidRPr="00266D8D">
        <w:rPr>
          <w:rFonts w:ascii="Calibri" w:hAnsi="Calibri" w:cs="Calibri"/>
          <w:lang w:val="it-IT"/>
        </w:rPr>
        <w:t xml:space="preserve">Le società hanno anche sottolineato </w:t>
      </w:r>
      <w:r w:rsidR="00EA0EC1" w:rsidRPr="00266D8D">
        <w:rPr>
          <w:rFonts w:ascii="Calibri" w:hAnsi="Calibri" w:cs="Calibri"/>
          <w:b/>
          <w:bCs/>
          <w:lang w:val="it-IT"/>
        </w:rPr>
        <w:t xml:space="preserve">l'impatto </w:t>
      </w:r>
      <w:r w:rsidR="00666FDE">
        <w:rPr>
          <w:rFonts w:ascii="Calibri" w:hAnsi="Calibri" w:cs="Calibri"/>
          <w:b/>
          <w:bCs/>
          <w:lang w:val="it-IT"/>
        </w:rPr>
        <w:t xml:space="preserve">dell’IA </w:t>
      </w:r>
      <w:r w:rsidR="00EA0EC1" w:rsidRPr="00266D8D">
        <w:rPr>
          <w:rFonts w:ascii="Calibri" w:hAnsi="Calibri" w:cs="Calibri"/>
          <w:b/>
          <w:bCs/>
          <w:lang w:val="it-IT"/>
        </w:rPr>
        <w:t xml:space="preserve">sul complesso industriale. Le aziende che supportano </w:t>
      </w:r>
      <w:r w:rsidR="007E68DB" w:rsidRPr="00266D8D">
        <w:rPr>
          <w:rFonts w:ascii="Calibri" w:hAnsi="Calibri" w:cs="Calibri"/>
          <w:b/>
          <w:bCs/>
          <w:lang w:val="it-IT"/>
        </w:rPr>
        <w:t>la costruzione</w:t>
      </w:r>
      <w:r w:rsidR="00EA0EC1" w:rsidRPr="00266D8D">
        <w:rPr>
          <w:rFonts w:ascii="Calibri" w:hAnsi="Calibri" w:cs="Calibri"/>
          <w:b/>
          <w:bCs/>
          <w:lang w:val="it-IT"/>
        </w:rPr>
        <w:t xml:space="preserve"> di impianti elettrici e </w:t>
      </w:r>
      <w:r w:rsidR="009E2F4F" w:rsidRPr="00266D8D">
        <w:rPr>
          <w:rFonts w:ascii="Calibri" w:hAnsi="Calibri" w:cs="Calibri"/>
          <w:b/>
          <w:bCs/>
          <w:lang w:val="it-IT"/>
        </w:rPr>
        <w:t>d</w:t>
      </w:r>
      <w:r w:rsidR="00EA0EC1" w:rsidRPr="00266D8D">
        <w:rPr>
          <w:rFonts w:ascii="Calibri" w:hAnsi="Calibri" w:cs="Calibri"/>
          <w:b/>
          <w:bCs/>
          <w:lang w:val="it-IT"/>
        </w:rPr>
        <w:t>i centri di elaborazione dei dati hanno registrato un andamento particolarmente positivo</w:t>
      </w:r>
      <w:r w:rsidR="007B5FA8" w:rsidRPr="00266D8D">
        <w:rPr>
          <w:rFonts w:ascii="Calibri" w:hAnsi="Calibri" w:cs="Calibri"/>
          <w:b/>
          <w:bCs/>
          <w:lang w:val="it-IT"/>
        </w:rPr>
        <w:t>.</w:t>
      </w:r>
      <w:r w:rsidR="008770D0" w:rsidRPr="00266D8D">
        <w:rPr>
          <w:rFonts w:ascii="Calibri" w:hAnsi="Calibri" w:cs="Calibri"/>
          <w:lang w:val="it-IT"/>
        </w:rPr>
        <w:t xml:space="preserve"> </w:t>
      </w:r>
      <w:r w:rsidR="00EA4B05" w:rsidRPr="00266D8D">
        <w:rPr>
          <w:rFonts w:ascii="Calibri" w:hAnsi="Calibri" w:cs="Calibri"/>
          <w:lang w:val="it-IT"/>
        </w:rPr>
        <w:t xml:space="preserve">Per quanto riguarda il comparto elettrico, </w:t>
      </w:r>
      <w:r w:rsidR="009523A9">
        <w:rPr>
          <w:rFonts w:ascii="Calibri" w:hAnsi="Calibri" w:cs="Calibri"/>
          <w:lang w:val="it-IT"/>
        </w:rPr>
        <w:t xml:space="preserve">basti considerare </w:t>
      </w:r>
      <w:r w:rsidR="00EA4B05" w:rsidRPr="00266D8D">
        <w:rPr>
          <w:rFonts w:ascii="Calibri" w:hAnsi="Calibri" w:cs="Calibri"/>
          <w:lang w:val="it-IT"/>
        </w:rPr>
        <w:t xml:space="preserve">che ogni chip NVIDIA H100 </w:t>
      </w:r>
      <w:r w:rsidR="00666FDE">
        <w:rPr>
          <w:rFonts w:ascii="Calibri" w:hAnsi="Calibri" w:cs="Calibri"/>
          <w:lang w:val="it-IT"/>
        </w:rPr>
        <w:t xml:space="preserve">consuma energia quanto </w:t>
      </w:r>
      <w:r w:rsidR="00EA4B05" w:rsidRPr="00266D8D">
        <w:rPr>
          <w:rFonts w:ascii="Calibri" w:hAnsi="Calibri" w:cs="Calibri"/>
          <w:lang w:val="it-IT"/>
        </w:rPr>
        <w:t>una famiglia media</w:t>
      </w:r>
      <w:r w:rsidR="004263CB">
        <w:rPr>
          <w:rFonts w:ascii="Calibri" w:hAnsi="Calibri" w:cs="Calibri"/>
          <w:lang w:val="it-IT"/>
        </w:rPr>
        <w:t xml:space="preserve"> in un giorno</w:t>
      </w:r>
      <w:r w:rsidR="008770D0" w:rsidRPr="00266D8D">
        <w:rPr>
          <w:rFonts w:ascii="Calibri" w:hAnsi="Calibri" w:cs="Calibri"/>
          <w:lang w:val="it-IT"/>
        </w:rPr>
        <w:t>.</w:t>
      </w:r>
      <w:r w:rsidR="00EA4B05" w:rsidRPr="00266D8D">
        <w:rPr>
          <w:rFonts w:ascii="Calibri" w:hAnsi="Calibri" w:cs="Calibri"/>
          <w:lang w:val="it-IT"/>
        </w:rPr>
        <w:t xml:space="preserve"> </w:t>
      </w:r>
      <w:r w:rsidR="00AD675E" w:rsidRPr="00266D8D">
        <w:rPr>
          <w:rFonts w:ascii="Calibri" w:hAnsi="Calibri" w:cs="Calibri"/>
          <w:lang w:val="it-IT"/>
        </w:rPr>
        <w:t>I</w:t>
      </w:r>
      <w:r w:rsidR="00EA4B05" w:rsidRPr="00266D8D">
        <w:rPr>
          <w:rFonts w:ascii="Calibri" w:hAnsi="Calibri" w:cs="Calibri"/>
          <w:lang w:val="it-IT"/>
        </w:rPr>
        <w:t xml:space="preserve">l centro di elaborazione dei dati </w:t>
      </w:r>
      <w:r w:rsidR="00BC5972" w:rsidRPr="00266D8D">
        <w:rPr>
          <w:rFonts w:ascii="Calibri" w:hAnsi="Calibri" w:cs="Calibri"/>
          <w:lang w:val="it-IT"/>
        </w:rPr>
        <w:t xml:space="preserve">medio </w:t>
      </w:r>
      <w:r w:rsidR="00EA4B05" w:rsidRPr="00266D8D">
        <w:rPr>
          <w:rFonts w:ascii="Calibri" w:hAnsi="Calibri" w:cs="Calibri"/>
          <w:lang w:val="it-IT"/>
        </w:rPr>
        <w:t xml:space="preserve">dotato di GPU consuma 5-10 volte tanto e richiede una quantità simile </w:t>
      </w:r>
      <w:r w:rsidR="00BC5972" w:rsidRPr="00266D8D">
        <w:rPr>
          <w:rFonts w:ascii="Calibri" w:hAnsi="Calibri" w:cs="Calibri"/>
          <w:lang w:val="it-IT"/>
        </w:rPr>
        <w:t xml:space="preserve">per il </w:t>
      </w:r>
      <w:r w:rsidR="00EA4B05" w:rsidRPr="00266D8D">
        <w:rPr>
          <w:rFonts w:ascii="Calibri" w:hAnsi="Calibri" w:cs="Calibri"/>
          <w:lang w:val="it-IT"/>
        </w:rPr>
        <w:t>raffreddamento</w:t>
      </w:r>
      <w:r w:rsidR="007B5FA8" w:rsidRPr="00266D8D">
        <w:rPr>
          <w:rFonts w:ascii="Calibri" w:hAnsi="Calibri" w:cs="Calibri"/>
          <w:lang w:val="it-IT"/>
        </w:rPr>
        <w:t xml:space="preserve">. </w:t>
      </w:r>
      <w:r w:rsidR="00666FDE">
        <w:rPr>
          <w:rFonts w:ascii="Calibri" w:hAnsi="Calibri" w:cs="Calibri"/>
          <w:lang w:val="it-IT"/>
        </w:rPr>
        <w:t>I carichi di lavoro</w:t>
      </w:r>
      <w:r w:rsidR="00751B4D" w:rsidRPr="00266D8D">
        <w:rPr>
          <w:rFonts w:ascii="Calibri" w:hAnsi="Calibri" w:cs="Calibri"/>
          <w:lang w:val="it-IT"/>
        </w:rPr>
        <w:t xml:space="preserve"> per le aziende elettriche </w:t>
      </w:r>
      <w:r w:rsidR="00E92F17" w:rsidRPr="00266D8D">
        <w:rPr>
          <w:rFonts w:ascii="Calibri" w:hAnsi="Calibri" w:cs="Calibri"/>
          <w:lang w:val="it-IT"/>
        </w:rPr>
        <w:t>sono aumentati</w:t>
      </w:r>
      <w:r w:rsidR="00751B4D" w:rsidRPr="00266D8D">
        <w:rPr>
          <w:rFonts w:ascii="Calibri" w:hAnsi="Calibri" w:cs="Calibri"/>
          <w:lang w:val="it-IT"/>
        </w:rPr>
        <w:t xml:space="preserve"> da due a cinque anni, </w:t>
      </w:r>
      <w:r w:rsidR="00E92F17" w:rsidRPr="00266D8D">
        <w:rPr>
          <w:rFonts w:ascii="Calibri" w:hAnsi="Calibri" w:cs="Calibri"/>
          <w:lang w:val="it-IT"/>
        </w:rPr>
        <w:t>considerato</w:t>
      </w:r>
      <w:r w:rsidR="00751B4D" w:rsidRPr="00266D8D">
        <w:rPr>
          <w:rFonts w:ascii="Calibri" w:hAnsi="Calibri" w:cs="Calibri"/>
          <w:lang w:val="it-IT"/>
        </w:rPr>
        <w:t xml:space="preserve"> che le grandi </w:t>
      </w:r>
      <w:r w:rsidR="00E92F17" w:rsidRPr="00266D8D">
        <w:rPr>
          <w:rFonts w:ascii="Calibri" w:hAnsi="Calibri" w:cs="Calibri"/>
          <w:lang w:val="it-IT"/>
        </w:rPr>
        <w:t>società</w:t>
      </w:r>
      <w:r w:rsidR="00751B4D" w:rsidRPr="00266D8D">
        <w:rPr>
          <w:rFonts w:ascii="Calibri" w:hAnsi="Calibri" w:cs="Calibri"/>
          <w:lang w:val="it-IT"/>
        </w:rPr>
        <w:t xml:space="preserve"> di Internet stanno pianificando la costruzione di centri di elaborazione dei dati fino al 2028. </w:t>
      </w:r>
      <w:r w:rsidR="00E92F17" w:rsidRPr="00266D8D">
        <w:rPr>
          <w:rFonts w:ascii="Calibri" w:hAnsi="Calibri" w:cs="Calibri"/>
          <w:b/>
          <w:bCs/>
          <w:lang w:val="it-IT"/>
        </w:rPr>
        <w:t>In termini di</w:t>
      </w:r>
      <w:r w:rsidR="00751B4D" w:rsidRPr="00266D8D">
        <w:rPr>
          <w:rFonts w:ascii="Calibri" w:hAnsi="Calibri" w:cs="Calibri"/>
          <w:b/>
          <w:bCs/>
          <w:lang w:val="it-IT"/>
        </w:rPr>
        <w:t xml:space="preserve"> portafoglio, continuiamo a </w:t>
      </w:r>
      <w:r w:rsidR="00455A54" w:rsidRPr="00266D8D">
        <w:rPr>
          <w:rFonts w:ascii="Calibri" w:hAnsi="Calibri" w:cs="Calibri"/>
          <w:b/>
          <w:bCs/>
          <w:lang w:val="it-IT"/>
        </w:rPr>
        <w:t>operare</w:t>
      </w:r>
      <w:r w:rsidR="00751B4D" w:rsidRPr="00266D8D">
        <w:rPr>
          <w:rFonts w:ascii="Calibri" w:hAnsi="Calibri" w:cs="Calibri"/>
          <w:b/>
          <w:bCs/>
          <w:lang w:val="it-IT"/>
        </w:rPr>
        <w:t xml:space="preserve"> sia </w:t>
      </w:r>
      <w:r w:rsidR="00455A54" w:rsidRPr="00266D8D">
        <w:rPr>
          <w:rFonts w:ascii="Calibri" w:hAnsi="Calibri" w:cs="Calibri"/>
          <w:b/>
          <w:bCs/>
          <w:lang w:val="it-IT"/>
        </w:rPr>
        <w:t>ne</w:t>
      </w:r>
      <w:r w:rsidR="00751B4D" w:rsidRPr="00266D8D">
        <w:rPr>
          <w:rFonts w:ascii="Calibri" w:hAnsi="Calibri" w:cs="Calibri"/>
          <w:b/>
          <w:bCs/>
          <w:lang w:val="it-IT"/>
        </w:rPr>
        <w:t>ll'</w:t>
      </w:r>
      <w:r w:rsidR="00455A54" w:rsidRPr="00266D8D">
        <w:rPr>
          <w:rFonts w:ascii="Calibri" w:hAnsi="Calibri" w:cs="Calibri"/>
          <w:b/>
          <w:bCs/>
          <w:lang w:val="it-IT"/>
        </w:rPr>
        <w:t>ambito dell’</w:t>
      </w:r>
      <w:r w:rsidR="00751B4D" w:rsidRPr="00266D8D">
        <w:rPr>
          <w:rFonts w:ascii="Calibri" w:hAnsi="Calibri" w:cs="Calibri"/>
          <w:b/>
          <w:bCs/>
          <w:lang w:val="it-IT"/>
        </w:rPr>
        <w:t xml:space="preserve">elettrificazione che </w:t>
      </w:r>
      <w:r w:rsidR="00455A54" w:rsidRPr="00266D8D">
        <w:rPr>
          <w:rFonts w:ascii="Calibri" w:hAnsi="Calibri" w:cs="Calibri"/>
          <w:b/>
          <w:bCs/>
          <w:lang w:val="it-IT"/>
        </w:rPr>
        <w:t>de</w:t>
      </w:r>
      <w:r w:rsidR="00751B4D" w:rsidRPr="00266D8D">
        <w:rPr>
          <w:rFonts w:ascii="Calibri" w:hAnsi="Calibri" w:cs="Calibri"/>
          <w:b/>
          <w:bCs/>
          <w:lang w:val="it-IT"/>
        </w:rPr>
        <w:t>ll'automazione</w:t>
      </w:r>
      <w:r w:rsidR="007B5FA8" w:rsidRPr="00266D8D">
        <w:rPr>
          <w:rFonts w:ascii="Calibri" w:hAnsi="Calibri" w:cs="Calibri"/>
          <w:lang w:val="it-IT"/>
        </w:rPr>
        <w:t>.</w:t>
      </w:r>
    </w:p>
    <w:p w14:paraId="7BAAE407" w14:textId="77777777" w:rsidR="009D3C70" w:rsidRDefault="009D3C70" w:rsidP="00266D8D">
      <w:pPr>
        <w:pStyle w:val="Corpotesto"/>
        <w:ind w:left="0" w:right="166"/>
        <w:contextualSpacing/>
        <w:rPr>
          <w:rFonts w:ascii="Calibri" w:hAnsi="Calibri" w:cs="Calibri"/>
          <w:lang w:val="it-IT"/>
        </w:rPr>
      </w:pPr>
    </w:p>
    <w:p w14:paraId="3DE39FDD" w14:textId="63318CD7" w:rsidR="00D55343" w:rsidRDefault="00573B85" w:rsidP="00266D8D">
      <w:pPr>
        <w:pStyle w:val="Corpotesto"/>
        <w:ind w:left="0" w:right="166"/>
        <w:contextualSpacing/>
        <w:rPr>
          <w:rFonts w:ascii="Calibri" w:hAnsi="Calibri" w:cs="Calibri"/>
          <w:lang w:val="it-IT"/>
        </w:rPr>
      </w:pPr>
      <w:r>
        <w:rPr>
          <w:rFonts w:ascii="Calibri" w:hAnsi="Calibri" w:cs="Calibri"/>
          <w:u w:val="single"/>
          <w:lang w:val="it-IT"/>
        </w:rPr>
        <w:t>IA e farmaci per l’obesità</w:t>
      </w:r>
      <w:r w:rsidR="009D3C70">
        <w:rPr>
          <w:rFonts w:ascii="Calibri" w:hAnsi="Calibri" w:cs="Calibri"/>
          <w:lang w:val="it-IT"/>
        </w:rPr>
        <w:br/>
      </w:r>
      <w:r w:rsidR="00515A92" w:rsidRPr="00266D8D">
        <w:rPr>
          <w:rFonts w:ascii="Calibri" w:hAnsi="Calibri" w:cs="Calibri"/>
          <w:lang w:val="it-IT"/>
        </w:rPr>
        <w:t xml:space="preserve">Finora nel 2024, </w:t>
      </w:r>
      <w:r w:rsidR="00C40F48" w:rsidRPr="00266D8D">
        <w:rPr>
          <w:rFonts w:ascii="Calibri" w:hAnsi="Calibri" w:cs="Calibri"/>
          <w:lang w:val="it-IT"/>
        </w:rPr>
        <w:t xml:space="preserve">approcciarsi </w:t>
      </w:r>
      <w:r w:rsidR="00515A92" w:rsidRPr="00266D8D">
        <w:rPr>
          <w:rFonts w:ascii="Calibri" w:hAnsi="Calibri" w:cs="Calibri"/>
          <w:lang w:val="it-IT"/>
        </w:rPr>
        <w:t xml:space="preserve">nel modo giusto </w:t>
      </w:r>
      <w:r w:rsidR="00C40F48" w:rsidRPr="00266D8D">
        <w:rPr>
          <w:rFonts w:ascii="Calibri" w:hAnsi="Calibri" w:cs="Calibri"/>
          <w:lang w:val="it-IT"/>
        </w:rPr>
        <w:t>a</w:t>
      </w:r>
      <w:r>
        <w:rPr>
          <w:rFonts w:ascii="Calibri" w:hAnsi="Calibri" w:cs="Calibri"/>
          <w:lang w:val="it-IT"/>
        </w:rPr>
        <w:t xml:space="preserve"> questi due temi</w:t>
      </w:r>
      <w:r w:rsidR="00515A92" w:rsidRPr="00266D8D">
        <w:rPr>
          <w:rFonts w:ascii="Calibri" w:hAnsi="Calibri" w:cs="Calibri"/>
          <w:lang w:val="it-IT"/>
        </w:rPr>
        <w:t xml:space="preserve"> sembra essere l'unico </w:t>
      </w:r>
      <w:r w:rsidR="00A75073" w:rsidRPr="00266D8D">
        <w:rPr>
          <w:rFonts w:ascii="Calibri" w:hAnsi="Calibri" w:cs="Calibri"/>
          <w:lang w:val="it-IT"/>
        </w:rPr>
        <w:t>elemento</w:t>
      </w:r>
      <w:r w:rsidR="00515A92" w:rsidRPr="00266D8D">
        <w:rPr>
          <w:rFonts w:ascii="Calibri" w:hAnsi="Calibri" w:cs="Calibri"/>
          <w:lang w:val="it-IT"/>
        </w:rPr>
        <w:t xml:space="preserve"> che conta sul mercato</w:t>
      </w:r>
      <w:r w:rsidR="00515A92" w:rsidRPr="00266D8D">
        <w:rPr>
          <w:rFonts w:ascii="Calibri" w:hAnsi="Calibri" w:cs="Calibri"/>
          <w:b/>
          <w:bCs/>
          <w:lang w:val="it-IT"/>
        </w:rPr>
        <w:t xml:space="preserve">. Ciò che potrebbe </w:t>
      </w:r>
      <w:r w:rsidR="009648A4">
        <w:rPr>
          <w:rFonts w:ascii="Calibri" w:hAnsi="Calibri" w:cs="Calibri"/>
          <w:b/>
          <w:bCs/>
          <w:lang w:val="it-IT"/>
        </w:rPr>
        <w:t xml:space="preserve">sorprendere </w:t>
      </w:r>
      <w:r w:rsidR="00515A92" w:rsidRPr="00266D8D">
        <w:rPr>
          <w:rFonts w:ascii="Calibri" w:hAnsi="Calibri" w:cs="Calibri"/>
          <w:b/>
          <w:bCs/>
          <w:lang w:val="it-IT"/>
        </w:rPr>
        <w:t xml:space="preserve">alcuni è che </w:t>
      </w:r>
      <w:r w:rsidR="006C2641" w:rsidRPr="00266D8D">
        <w:rPr>
          <w:rFonts w:ascii="Calibri" w:hAnsi="Calibri" w:cs="Calibri"/>
          <w:b/>
          <w:bCs/>
          <w:lang w:val="it-IT"/>
        </w:rPr>
        <w:t>l’IA e le incretine artificiali</w:t>
      </w:r>
      <w:r w:rsidR="00515A92" w:rsidRPr="00266D8D">
        <w:rPr>
          <w:rFonts w:ascii="Calibri" w:hAnsi="Calibri" w:cs="Calibri"/>
          <w:b/>
          <w:bCs/>
          <w:lang w:val="it-IT"/>
        </w:rPr>
        <w:t xml:space="preserve"> </w:t>
      </w:r>
      <w:r w:rsidR="008F13C3">
        <w:rPr>
          <w:rFonts w:ascii="Calibri" w:hAnsi="Calibri" w:cs="Calibri"/>
          <w:b/>
          <w:bCs/>
          <w:lang w:val="it-IT"/>
        </w:rPr>
        <w:t xml:space="preserve">dal punto di vista economico </w:t>
      </w:r>
      <w:r w:rsidR="00515A92" w:rsidRPr="00266D8D">
        <w:rPr>
          <w:rFonts w:ascii="Calibri" w:hAnsi="Calibri" w:cs="Calibri"/>
          <w:b/>
          <w:bCs/>
          <w:lang w:val="it-IT"/>
        </w:rPr>
        <w:t>sono in realtà piuttosto simili. Entrambi operano in una struttura di monopolio/oligopolio</w:t>
      </w:r>
      <w:r w:rsidR="00515A92" w:rsidRPr="00266D8D">
        <w:rPr>
          <w:rFonts w:ascii="Calibri" w:hAnsi="Calibri" w:cs="Calibri"/>
          <w:lang w:val="it-IT"/>
        </w:rPr>
        <w:t xml:space="preserve">, </w:t>
      </w:r>
      <w:r w:rsidR="004C13D4" w:rsidRPr="00266D8D">
        <w:rPr>
          <w:rFonts w:ascii="Calibri" w:hAnsi="Calibri" w:cs="Calibri"/>
          <w:lang w:val="it-IT"/>
        </w:rPr>
        <w:t>tutti e due</w:t>
      </w:r>
      <w:r w:rsidR="00515A92" w:rsidRPr="00266D8D">
        <w:rPr>
          <w:rFonts w:ascii="Calibri" w:hAnsi="Calibri" w:cs="Calibri"/>
          <w:lang w:val="it-IT"/>
        </w:rPr>
        <w:t xml:space="preserve"> vendono tutto ciò che riescono a produrre</w:t>
      </w:r>
      <w:r w:rsidR="0098734C" w:rsidRPr="00266D8D">
        <w:rPr>
          <w:rFonts w:ascii="Calibri" w:hAnsi="Calibri" w:cs="Calibri"/>
          <w:lang w:val="it-IT"/>
        </w:rPr>
        <w:t>,</w:t>
      </w:r>
      <w:r w:rsidR="00515A92" w:rsidRPr="00266D8D">
        <w:rPr>
          <w:rFonts w:ascii="Calibri" w:hAnsi="Calibri" w:cs="Calibri"/>
          <w:lang w:val="it-IT"/>
        </w:rPr>
        <w:t xml:space="preserve"> in quanto la loro </w:t>
      </w:r>
      <w:r w:rsidR="00515A92" w:rsidRPr="00266D8D">
        <w:rPr>
          <w:rFonts w:ascii="Calibri" w:hAnsi="Calibri" w:cs="Calibri"/>
          <w:lang w:val="it-IT"/>
        </w:rPr>
        <w:lastRenderedPageBreak/>
        <w:t xml:space="preserve">capacità produttiva è limitata, </w:t>
      </w:r>
      <w:r w:rsidR="008F13C3">
        <w:rPr>
          <w:rFonts w:ascii="Calibri" w:hAnsi="Calibri" w:cs="Calibri"/>
          <w:lang w:val="it-IT"/>
        </w:rPr>
        <w:t xml:space="preserve">ed </w:t>
      </w:r>
      <w:r w:rsidR="00515A92" w:rsidRPr="00266D8D">
        <w:rPr>
          <w:rFonts w:ascii="Calibri" w:hAnsi="Calibri" w:cs="Calibri"/>
          <w:lang w:val="it-IT"/>
        </w:rPr>
        <w:t>entrambi partecipano a mercati raggiungibili di grandi dimensioni</w:t>
      </w:r>
      <w:r w:rsidR="00666FDE">
        <w:rPr>
          <w:rFonts w:ascii="Calibri" w:hAnsi="Calibri" w:cs="Calibri"/>
          <w:lang w:val="it-IT"/>
        </w:rPr>
        <w:t xml:space="preserve">: </w:t>
      </w:r>
      <w:r w:rsidR="008F13C3">
        <w:rPr>
          <w:rFonts w:ascii="Calibri" w:hAnsi="Calibri" w:cs="Calibri"/>
          <w:lang w:val="it-IT"/>
        </w:rPr>
        <w:t xml:space="preserve">il </w:t>
      </w:r>
      <w:r w:rsidR="00515A92" w:rsidRPr="00266D8D">
        <w:rPr>
          <w:rFonts w:ascii="Calibri" w:hAnsi="Calibri" w:cs="Calibri"/>
          <w:lang w:val="it-IT"/>
        </w:rPr>
        <w:t xml:space="preserve">mercato dei chip </w:t>
      </w:r>
      <w:r w:rsidR="008F13C3">
        <w:rPr>
          <w:rFonts w:ascii="Calibri" w:hAnsi="Calibri" w:cs="Calibri"/>
          <w:lang w:val="it-IT"/>
        </w:rPr>
        <w:t>è stimato in</w:t>
      </w:r>
      <w:r w:rsidR="00515A92" w:rsidRPr="00266D8D">
        <w:rPr>
          <w:rFonts w:ascii="Calibri" w:hAnsi="Calibri" w:cs="Calibri"/>
          <w:lang w:val="it-IT"/>
        </w:rPr>
        <w:t xml:space="preserve"> 400 miliardi di </w:t>
      </w:r>
      <w:r w:rsidR="00C11B2C" w:rsidRPr="00266D8D">
        <w:rPr>
          <w:rFonts w:ascii="Calibri" w:hAnsi="Calibri" w:cs="Calibri"/>
          <w:lang w:val="it-IT"/>
        </w:rPr>
        <w:t>dollari</w:t>
      </w:r>
      <w:r w:rsidR="00515A92" w:rsidRPr="00266D8D">
        <w:rPr>
          <w:rFonts w:ascii="Calibri" w:hAnsi="Calibri" w:cs="Calibri"/>
          <w:lang w:val="it-IT"/>
        </w:rPr>
        <w:t xml:space="preserve">, </w:t>
      </w:r>
      <w:r w:rsidR="008F13C3">
        <w:rPr>
          <w:rFonts w:ascii="Calibri" w:hAnsi="Calibri" w:cs="Calibri"/>
          <w:lang w:val="it-IT"/>
        </w:rPr>
        <w:t xml:space="preserve">quello </w:t>
      </w:r>
      <w:r w:rsidR="00515A92" w:rsidRPr="00266D8D">
        <w:rPr>
          <w:rFonts w:ascii="Calibri" w:hAnsi="Calibri" w:cs="Calibri"/>
          <w:lang w:val="it-IT"/>
        </w:rPr>
        <w:t xml:space="preserve">dell'obesità </w:t>
      </w:r>
      <w:r w:rsidR="008F13C3">
        <w:rPr>
          <w:rFonts w:ascii="Calibri" w:hAnsi="Calibri" w:cs="Calibri"/>
          <w:lang w:val="it-IT"/>
        </w:rPr>
        <w:t>in</w:t>
      </w:r>
      <w:r w:rsidR="00515A92" w:rsidRPr="00266D8D">
        <w:rPr>
          <w:rFonts w:ascii="Calibri" w:hAnsi="Calibri" w:cs="Calibri"/>
          <w:lang w:val="it-IT"/>
        </w:rPr>
        <w:t xml:space="preserve"> 200 miliardi di dollari</w:t>
      </w:r>
      <w:r w:rsidR="00666FDE">
        <w:rPr>
          <w:rFonts w:ascii="Calibri" w:hAnsi="Calibri" w:cs="Calibri"/>
          <w:lang w:val="it-IT"/>
        </w:rPr>
        <w:t>.</w:t>
      </w:r>
      <w:r w:rsidR="00515A92" w:rsidRPr="00266D8D">
        <w:rPr>
          <w:rFonts w:ascii="Calibri" w:hAnsi="Calibri" w:cs="Calibri"/>
          <w:lang w:val="it-IT"/>
        </w:rPr>
        <w:t xml:space="preserve"> </w:t>
      </w:r>
      <w:r w:rsidR="00666FDE">
        <w:rPr>
          <w:rFonts w:ascii="Calibri" w:hAnsi="Calibri" w:cs="Calibri"/>
          <w:lang w:val="it-IT"/>
        </w:rPr>
        <w:t>T</w:t>
      </w:r>
      <w:r w:rsidR="0098734C" w:rsidRPr="00266D8D">
        <w:rPr>
          <w:rFonts w:ascii="Calibri" w:hAnsi="Calibri" w:cs="Calibri"/>
          <w:lang w:val="it-IT"/>
        </w:rPr>
        <w:t>utti e due</w:t>
      </w:r>
      <w:r w:rsidR="00666FDE">
        <w:rPr>
          <w:rFonts w:ascii="Calibri" w:hAnsi="Calibri" w:cs="Calibri"/>
          <w:lang w:val="it-IT"/>
        </w:rPr>
        <w:t xml:space="preserve"> inoltre</w:t>
      </w:r>
      <w:r w:rsidR="00515A92" w:rsidRPr="00266D8D">
        <w:rPr>
          <w:rFonts w:ascii="Calibri" w:hAnsi="Calibri" w:cs="Calibri"/>
          <w:lang w:val="it-IT"/>
        </w:rPr>
        <w:t xml:space="preserve"> </w:t>
      </w:r>
      <w:r w:rsidR="0098734C" w:rsidRPr="00266D8D">
        <w:rPr>
          <w:rFonts w:ascii="Calibri" w:hAnsi="Calibri" w:cs="Calibri"/>
          <w:lang w:val="it-IT"/>
        </w:rPr>
        <w:t>devono fare i conti con</w:t>
      </w:r>
      <w:r w:rsidR="00515A92" w:rsidRPr="00266D8D">
        <w:rPr>
          <w:rFonts w:ascii="Calibri" w:hAnsi="Calibri" w:cs="Calibri"/>
          <w:lang w:val="it-IT"/>
        </w:rPr>
        <w:t xml:space="preserve"> elevate barriere all'ingresso</w:t>
      </w:r>
      <w:r w:rsidR="0098734C" w:rsidRPr="00266D8D">
        <w:rPr>
          <w:rFonts w:ascii="Calibri" w:hAnsi="Calibri" w:cs="Calibri"/>
          <w:lang w:val="it-IT"/>
        </w:rPr>
        <w:t>. Infatti</w:t>
      </w:r>
      <w:r w:rsidR="008770D0">
        <w:rPr>
          <w:rFonts w:ascii="Calibri" w:hAnsi="Calibri" w:cs="Calibri"/>
          <w:lang w:val="it-IT"/>
        </w:rPr>
        <w:t>,</w:t>
      </w:r>
      <w:r w:rsidR="00515A92" w:rsidRPr="00266D8D">
        <w:rPr>
          <w:rFonts w:ascii="Calibri" w:hAnsi="Calibri" w:cs="Calibri"/>
          <w:lang w:val="it-IT"/>
        </w:rPr>
        <w:t xml:space="preserve"> è molto difficile creare un nuovo chip o costruire un nuovo impianto di produzione</w:t>
      </w:r>
      <w:r w:rsidR="009D3C70">
        <w:rPr>
          <w:rFonts w:ascii="Calibri" w:hAnsi="Calibri" w:cs="Calibri"/>
          <w:lang w:val="it-IT"/>
        </w:rPr>
        <w:t xml:space="preserve"> </w:t>
      </w:r>
      <w:r w:rsidR="008F13C3">
        <w:rPr>
          <w:rFonts w:ascii="Calibri" w:hAnsi="Calibri" w:cs="Calibri"/>
          <w:lang w:val="it-IT"/>
        </w:rPr>
        <w:t>farmaceutica</w:t>
      </w:r>
      <w:r w:rsidR="00515A92" w:rsidRPr="00266D8D">
        <w:rPr>
          <w:rFonts w:ascii="Calibri" w:hAnsi="Calibri" w:cs="Calibri"/>
          <w:lang w:val="it-IT"/>
        </w:rPr>
        <w:t>.</w:t>
      </w:r>
      <w:r>
        <w:rPr>
          <w:rFonts w:ascii="Calibri" w:hAnsi="Calibri" w:cs="Calibri"/>
          <w:lang w:val="it-IT"/>
        </w:rPr>
        <w:br/>
      </w:r>
      <w:r>
        <w:rPr>
          <w:rFonts w:ascii="Calibri" w:hAnsi="Calibri" w:cs="Calibri"/>
          <w:lang w:val="it-IT"/>
        </w:rPr>
        <w:br/>
      </w:r>
      <w:r w:rsidRPr="00266D8D">
        <w:rPr>
          <w:rFonts w:ascii="Calibri" w:hAnsi="Calibri" w:cs="Calibri"/>
          <w:u w:val="single"/>
          <w:lang w:val="it-IT"/>
        </w:rPr>
        <w:t>Il caso NVIDIA</w:t>
      </w:r>
      <w:r w:rsidR="00D55343" w:rsidRPr="00266D8D">
        <w:rPr>
          <w:rFonts w:ascii="Calibri" w:hAnsi="Calibri" w:cs="Calibri"/>
          <w:u w:val="single"/>
          <w:lang w:val="it-IT"/>
        </w:rPr>
        <w:br/>
      </w:r>
      <w:r w:rsidR="00820832" w:rsidRPr="00266D8D">
        <w:rPr>
          <w:rFonts w:ascii="Calibri" w:hAnsi="Calibri" w:cs="Calibri"/>
          <w:lang w:val="it-IT"/>
        </w:rPr>
        <w:t>Dopo che</w:t>
      </w:r>
      <w:r w:rsidR="007B5FA8" w:rsidRPr="00266D8D">
        <w:rPr>
          <w:rFonts w:ascii="Calibri" w:hAnsi="Calibri" w:cs="Calibri"/>
          <w:lang w:val="it-IT"/>
        </w:rPr>
        <w:t xml:space="preserve"> </w:t>
      </w:r>
      <w:r w:rsidR="007B5FA8" w:rsidRPr="00266D8D">
        <w:rPr>
          <w:rFonts w:ascii="Calibri" w:hAnsi="Calibri" w:cs="Calibri"/>
          <w:b/>
          <w:bCs/>
          <w:lang w:val="it-IT"/>
        </w:rPr>
        <w:t>NVIDIA</w:t>
      </w:r>
      <w:r w:rsidR="00820832" w:rsidRPr="00266D8D">
        <w:rPr>
          <w:rFonts w:ascii="Calibri" w:hAnsi="Calibri" w:cs="Calibri"/>
          <w:lang w:val="it-IT"/>
        </w:rPr>
        <w:t xml:space="preserve"> ha comunicato i propri utili</w:t>
      </w:r>
      <w:r w:rsidR="00C11B2C" w:rsidRPr="00266D8D">
        <w:rPr>
          <w:rFonts w:ascii="Calibri" w:hAnsi="Calibri" w:cs="Calibri"/>
          <w:lang w:val="it-IT"/>
        </w:rPr>
        <w:t>,</w:t>
      </w:r>
      <w:r w:rsidR="00844A76" w:rsidRPr="00266D8D">
        <w:rPr>
          <w:rFonts w:ascii="Calibri" w:hAnsi="Calibri" w:cs="Calibri"/>
          <w:lang w:val="it-IT"/>
        </w:rPr>
        <w:t xml:space="preserve"> </w:t>
      </w:r>
      <w:r w:rsidR="003E05B4">
        <w:rPr>
          <w:rFonts w:ascii="Calibri" w:hAnsi="Calibri" w:cs="Calibri"/>
          <w:lang w:val="it-IT"/>
        </w:rPr>
        <w:t xml:space="preserve">siamo rimasti sorpresi: </w:t>
      </w:r>
      <w:r w:rsidR="00844A76" w:rsidRPr="00266D8D">
        <w:rPr>
          <w:rFonts w:ascii="Calibri" w:hAnsi="Calibri" w:cs="Calibri"/>
          <w:lang w:val="it-IT"/>
        </w:rPr>
        <w:t>non aveva</w:t>
      </w:r>
      <w:r w:rsidR="00D55343">
        <w:rPr>
          <w:rFonts w:ascii="Calibri" w:hAnsi="Calibri" w:cs="Calibri"/>
          <w:lang w:val="it-IT"/>
        </w:rPr>
        <w:t>mo</w:t>
      </w:r>
      <w:r w:rsidR="00844A76" w:rsidRPr="00266D8D">
        <w:rPr>
          <w:rFonts w:ascii="Calibri" w:hAnsi="Calibri" w:cs="Calibri"/>
          <w:lang w:val="it-IT"/>
        </w:rPr>
        <w:t xml:space="preserve"> mai visto nulla di simile. La sfida </w:t>
      </w:r>
      <w:r w:rsidR="00451E95" w:rsidRPr="00266D8D">
        <w:rPr>
          <w:rFonts w:ascii="Calibri" w:hAnsi="Calibri" w:cs="Calibri"/>
          <w:lang w:val="it-IT"/>
        </w:rPr>
        <w:t>consiste nel fatto che</w:t>
      </w:r>
      <w:r w:rsidR="00844A76" w:rsidRPr="00266D8D">
        <w:rPr>
          <w:rFonts w:ascii="Calibri" w:hAnsi="Calibri" w:cs="Calibri"/>
          <w:lang w:val="it-IT"/>
        </w:rPr>
        <w:t xml:space="preserve"> si tratta di un'infrastruttura, non di un software </w:t>
      </w:r>
      <w:r w:rsidR="008F13C3">
        <w:rPr>
          <w:rFonts w:ascii="Calibri" w:hAnsi="Calibri" w:cs="Calibri"/>
          <w:lang w:val="it-IT"/>
        </w:rPr>
        <w:t>di</w:t>
      </w:r>
      <w:r w:rsidR="00844A76" w:rsidRPr="00266D8D">
        <w:rPr>
          <w:rFonts w:ascii="Calibri" w:hAnsi="Calibri" w:cs="Calibri"/>
          <w:lang w:val="it-IT"/>
        </w:rPr>
        <w:t xml:space="preserve"> servizio o di un</w:t>
      </w:r>
      <w:r w:rsidR="00C11B2C" w:rsidRPr="00266D8D">
        <w:rPr>
          <w:rFonts w:ascii="Calibri" w:hAnsi="Calibri" w:cs="Calibri"/>
          <w:lang w:val="it-IT"/>
        </w:rPr>
        <w:t xml:space="preserve">a </w:t>
      </w:r>
      <w:r w:rsidR="00844A76" w:rsidRPr="00266D8D">
        <w:rPr>
          <w:rFonts w:ascii="Calibri" w:hAnsi="Calibri" w:cs="Calibri"/>
          <w:lang w:val="it-IT"/>
        </w:rPr>
        <w:t>utility. La particolarità</w:t>
      </w:r>
      <w:r w:rsidR="00666FDE">
        <w:rPr>
          <w:rFonts w:ascii="Calibri" w:hAnsi="Calibri" w:cs="Calibri"/>
          <w:lang w:val="it-IT"/>
        </w:rPr>
        <w:t>? E</w:t>
      </w:r>
      <w:r w:rsidR="00844A76" w:rsidRPr="00266D8D">
        <w:rPr>
          <w:rFonts w:ascii="Calibri" w:hAnsi="Calibri" w:cs="Calibri"/>
          <w:lang w:val="it-IT"/>
        </w:rPr>
        <w:t>siste una sola azienda al mondo da cui acquistare le GPU, quindi</w:t>
      </w:r>
      <w:r w:rsidR="00D55343">
        <w:rPr>
          <w:rFonts w:ascii="Calibri" w:hAnsi="Calibri" w:cs="Calibri"/>
          <w:lang w:val="it-IT"/>
        </w:rPr>
        <w:t>,</w:t>
      </w:r>
      <w:r w:rsidR="00844A76" w:rsidRPr="00266D8D">
        <w:rPr>
          <w:rFonts w:ascii="Calibri" w:hAnsi="Calibri" w:cs="Calibri"/>
          <w:lang w:val="it-IT"/>
        </w:rPr>
        <w:t xml:space="preserve"> NVIDIA ne trae </w:t>
      </w:r>
      <w:r w:rsidR="00451E95" w:rsidRPr="00266D8D">
        <w:rPr>
          <w:rFonts w:ascii="Calibri" w:hAnsi="Calibri" w:cs="Calibri"/>
          <w:lang w:val="it-IT"/>
        </w:rPr>
        <w:t>vantaggio</w:t>
      </w:r>
      <w:r w:rsidR="00844A76" w:rsidRPr="00266D8D">
        <w:rPr>
          <w:rFonts w:ascii="Calibri" w:hAnsi="Calibri" w:cs="Calibri"/>
          <w:lang w:val="it-IT"/>
        </w:rPr>
        <w:t xml:space="preserve"> su scala gigantesca e le società di Internet dipendono da lei. La domanda che sorge spontanea è la seguente: quanto potrà durare questa situazione?</w:t>
      </w:r>
      <w:r w:rsidR="00D55343">
        <w:rPr>
          <w:rFonts w:ascii="Calibri" w:hAnsi="Calibri" w:cs="Calibri"/>
          <w:lang w:val="it-IT"/>
        </w:rPr>
        <w:t xml:space="preserve"> </w:t>
      </w:r>
      <w:r w:rsidR="00844A76" w:rsidRPr="00266D8D">
        <w:rPr>
          <w:rFonts w:ascii="Calibri" w:hAnsi="Calibri" w:cs="Calibri"/>
          <w:lang w:val="it-IT"/>
        </w:rPr>
        <w:t>NVIDIA potrebbe essere vicina al picco d</w:t>
      </w:r>
      <w:r w:rsidR="0061599F" w:rsidRPr="00266D8D">
        <w:rPr>
          <w:rFonts w:ascii="Calibri" w:hAnsi="Calibri" w:cs="Calibri"/>
          <w:lang w:val="it-IT"/>
        </w:rPr>
        <w:t>ella</w:t>
      </w:r>
      <w:r w:rsidR="00844A76" w:rsidRPr="00266D8D">
        <w:rPr>
          <w:rFonts w:ascii="Calibri" w:hAnsi="Calibri" w:cs="Calibri"/>
          <w:lang w:val="it-IT"/>
        </w:rPr>
        <w:t xml:space="preserve"> crescita, o addirittura in </w:t>
      </w:r>
      <w:r w:rsidR="0061599F" w:rsidRPr="00266D8D">
        <w:rPr>
          <w:rFonts w:ascii="Calibri" w:hAnsi="Calibri" w:cs="Calibri"/>
          <w:lang w:val="it-IT"/>
        </w:rPr>
        <w:t xml:space="preserve">fase di </w:t>
      </w:r>
      <w:r w:rsidR="00844A76" w:rsidRPr="00266D8D">
        <w:rPr>
          <w:rFonts w:ascii="Calibri" w:hAnsi="Calibri" w:cs="Calibri"/>
          <w:lang w:val="it-IT"/>
        </w:rPr>
        <w:t xml:space="preserve">decelerazione, dato che la gamma di ricavi </w:t>
      </w:r>
      <w:r w:rsidR="002E7C68" w:rsidRPr="00266D8D">
        <w:rPr>
          <w:rFonts w:ascii="Calibri" w:hAnsi="Calibri" w:cs="Calibri"/>
          <w:lang w:val="it-IT"/>
        </w:rPr>
        <w:t xml:space="preserve">conseguiti </w:t>
      </w:r>
      <w:r w:rsidR="00844A76" w:rsidRPr="00266D8D">
        <w:rPr>
          <w:rFonts w:ascii="Calibri" w:hAnsi="Calibri" w:cs="Calibri"/>
          <w:lang w:val="it-IT"/>
        </w:rPr>
        <w:t xml:space="preserve">si restringe, ma la stragrande maggioranza delle aziende </w:t>
      </w:r>
      <w:r w:rsidR="002E7C68" w:rsidRPr="00266D8D">
        <w:rPr>
          <w:rFonts w:ascii="Calibri" w:hAnsi="Calibri" w:cs="Calibri"/>
          <w:lang w:val="it-IT"/>
        </w:rPr>
        <w:t xml:space="preserve">che impiegano </w:t>
      </w:r>
      <w:r w:rsidR="00844A76" w:rsidRPr="00266D8D">
        <w:rPr>
          <w:rFonts w:ascii="Calibri" w:hAnsi="Calibri" w:cs="Calibri"/>
          <w:lang w:val="it-IT"/>
        </w:rPr>
        <w:t>l'IA sta registrando</w:t>
      </w:r>
      <w:r w:rsidR="00266D8D">
        <w:rPr>
          <w:rFonts w:ascii="Calibri" w:hAnsi="Calibri" w:cs="Calibri"/>
          <w:lang w:val="it-IT"/>
        </w:rPr>
        <w:t xml:space="preserve"> </w:t>
      </w:r>
      <w:r w:rsidR="00844A76" w:rsidRPr="00266D8D">
        <w:rPr>
          <w:rFonts w:ascii="Calibri" w:hAnsi="Calibri" w:cs="Calibri"/>
          <w:lang w:val="it-IT"/>
        </w:rPr>
        <w:t>un’accelerazione</w:t>
      </w:r>
      <w:r w:rsidR="002E7C68" w:rsidRPr="00266D8D">
        <w:rPr>
          <w:rFonts w:ascii="Calibri" w:hAnsi="Calibri" w:cs="Calibri"/>
          <w:lang w:val="it-IT"/>
        </w:rPr>
        <w:t>. Pertanto</w:t>
      </w:r>
      <w:r w:rsidR="00D55343">
        <w:rPr>
          <w:rFonts w:ascii="Calibri" w:hAnsi="Calibri" w:cs="Calibri"/>
          <w:lang w:val="it-IT"/>
        </w:rPr>
        <w:t>,</w:t>
      </w:r>
      <w:r w:rsidR="00844A76" w:rsidRPr="00266D8D">
        <w:rPr>
          <w:rFonts w:ascii="Calibri" w:hAnsi="Calibri" w:cs="Calibri"/>
          <w:lang w:val="it-IT"/>
        </w:rPr>
        <w:t xml:space="preserve"> è probabile che il tema dell’IA rimanga solido </w:t>
      </w:r>
      <w:r w:rsidR="00666FDE">
        <w:rPr>
          <w:rFonts w:ascii="Calibri" w:hAnsi="Calibri" w:cs="Calibri"/>
          <w:lang w:val="it-IT"/>
        </w:rPr>
        <w:t xml:space="preserve">anche </w:t>
      </w:r>
      <w:r w:rsidR="00844A76" w:rsidRPr="00266D8D">
        <w:rPr>
          <w:rFonts w:ascii="Calibri" w:hAnsi="Calibri" w:cs="Calibri"/>
          <w:lang w:val="it-IT"/>
        </w:rPr>
        <w:t xml:space="preserve">per il prossimo anno. </w:t>
      </w:r>
    </w:p>
    <w:p w14:paraId="5A82AEDA" w14:textId="77777777" w:rsidR="00266D8D" w:rsidRDefault="00844A76" w:rsidP="00266D8D">
      <w:pPr>
        <w:pStyle w:val="Corpotesto"/>
        <w:ind w:left="0"/>
        <w:contextualSpacing/>
        <w:rPr>
          <w:rFonts w:ascii="Calibri" w:hAnsi="Calibri" w:cs="Calibri"/>
          <w:lang w:val="it-IT"/>
        </w:rPr>
      </w:pPr>
      <w:r w:rsidRPr="00266D8D">
        <w:rPr>
          <w:rFonts w:ascii="Calibri" w:hAnsi="Calibri" w:cs="Calibri"/>
          <w:lang w:val="it-IT"/>
        </w:rPr>
        <w:t>Di conseguenza, continu</w:t>
      </w:r>
      <w:r w:rsidR="009A5EFB">
        <w:rPr>
          <w:rFonts w:ascii="Calibri" w:hAnsi="Calibri" w:cs="Calibri"/>
          <w:lang w:val="it-IT"/>
        </w:rPr>
        <w:t>i</w:t>
      </w:r>
      <w:r w:rsidRPr="00266D8D">
        <w:rPr>
          <w:rFonts w:ascii="Calibri" w:hAnsi="Calibri" w:cs="Calibri"/>
          <w:lang w:val="it-IT"/>
        </w:rPr>
        <w:t>a</w:t>
      </w:r>
      <w:r w:rsidR="009A5EFB">
        <w:rPr>
          <w:rFonts w:ascii="Calibri" w:hAnsi="Calibri" w:cs="Calibri"/>
          <w:lang w:val="it-IT"/>
        </w:rPr>
        <w:t>mo</w:t>
      </w:r>
      <w:r w:rsidRPr="00266D8D">
        <w:rPr>
          <w:rFonts w:ascii="Calibri" w:hAnsi="Calibri" w:cs="Calibri"/>
          <w:lang w:val="it-IT"/>
        </w:rPr>
        <w:t xml:space="preserve"> a mantenere una posizione sovrappesata in NVIDIA. </w:t>
      </w:r>
    </w:p>
    <w:p w14:paraId="1B490438" w14:textId="77777777" w:rsidR="00266D8D" w:rsidRDefault="00266D8D" w:rsidP="00266D8D">
      <w:pPr>
        <w:pStyle w:val="Corpotesto"/>
        <w:ind w:left="0"/>
        <w:contextualSpacing/>
        <w:rPr>
          <w:rFonts w:ascii="Calibri" w:hAnsi="Calibri" w:cs="Calibri"/>
          <w:lang w:val="it-IT"/>
        </w:rPr>
      </w:pPr>
    </w:p>
    <w:p w14:paraId="3BB9FD87" w14:textId="627AC79F" w:rsidR="00D55343" w:rsidRDefault="00844A76" w:rsidP="00266D8D">
      <w:pPr>
        <w:pStyle w:val="Corpotesto"/>
        <w:ind w:left="0"/>
        <w:contextualSpacing/>
        <w:rPr>
          <w:rFonts w:ascii="Calibri" w:hAnsi="Calibri" w:cs="Calibri"/>
          <w:lang w:val="it-IT"/>
        </w:rPr>
      </w:pPr>
      <w:r w:rsidRPr="00266D8D">
        <w:rPr>
          <w:rFonts w:ascii="Calibri" w:hAnsi="Calibri" w:cs="Calibri"/>
          <w:lang w:val="it-IT"/>
        </w:rPr>
        <w:t>Tra gli altri titoli del comparto dell’IA</w:t>
      </w:r>
      <w:r w:rsidR="002E7C68" w:rsidRPr="00266D8D">
        <w:rPr>
          <w:rFonts w:ascii="Calibri" w:hAnsi="Calibri" w:cs="Calibri"/>
          <w:lang w:val="it-IT"/>
        </w:rPr>
        <w:t>,</w:t>
      </w:r>
      <w:r w:rsidRPr="00266D8D">
        <w:rPr>
          <w:rFonts w:ascii="Calibri" w:hAnsi="Calibri" w:cs="Calibri"/>
          <w:lang w:val="it-IT"/>
        </w:rPr>
        <w:t xml:space="preserve"> figurano le società che fabbricano beni strumentali per semiconduttori </w:t>
      </w:r>
      <w:r w:rsidRPr="00266D8D">
        <w:rPr>
          <w:rFonts w:ascii="Calibri" w:hAnsi="Calibri" w:cs="Calibri"/>
          <w:b/>
          <w:bCs/>
          <w:lang w:val="it-IT"/>
        </w:rPr>
        <w:t>Taiwan Semiconductor Manufacturing</w:t>
      </w:r>
      <w:r w:rsidRPr="00266D8D">
        <w:rPr>
          <w:rFonts w:ascii="Calibri" w:hAnsi="Calibri" w:cs="Calibri"/>
          <w:lang w:val="it-IT"/>
        </w:rPr>
        <w:t xml:space="preserve"> e </w:t>
      </w:r>
      <w:r w:rsidRPr="00266D8D">
        <w:rPr>
          <w:rFonts w:ascii="Calibri" w:hAnsi="Calibri" w:cs="Calibri"/>
          <w:b/>
          <w:bCs/>
          <w:lang w:val="it-IT"/>
        </w:rPr>
        <w:t>ASML Holding</w:t>
      </w:r>
      <w:r w:rsidRPr="00266D8D">
        <w:rPr>
          <w:rFonts w:ascii="Calibri" w:hAnsi="Calibri" w:cs="Calibri"/>
          <w:lang w:val="it-IT"/>
        </w:rPr>
        <w:t xml:space="preserve">, per le quali si prevede un'accelerazione significativa degli ordinativi. Il portafoglio detiene altresì </w:t>
      </w:r>
      <w:r w:rsidRPr="00266D8D">
        <w:rPr>
          <w:rFonts w:ascii="Calibri" w:hAnsi="Calibri" w:cs="Calibri"/>
          <w:b/>
          <w:bCs/>
          <w:lang w:val="it-IT"/>
        </w:rPr>
        <w:t>Advanced Micro Devices</w:t>
      </w:r>
      <w:r w:rsidRPr="00266D8D">
        <w:rPr>
          <w:rFonts w:ascii="Calibri" w:hAnsi="Calibri" w:cs="Calibri"/>
          <w:lang w:val="it-IT"/>
        </w:rPr>
        <w:t xml:space="preserve">, per la quale prevediamo un'accelerazione sia delle CPU che </w:t>
      </w:r>
      <w:r w:rsidR="00314E76" w:rsidRPr="00266D8D">
        <w:rPr>
          <w:rFonts w:ascii="Calibri" w:hAnsi="Calibri" w:cs="Calibri"/>
          <w:lang w:val="it-IT"/>
        </w:rPr>
        <w:t>del</w:t>
      </w:r>
      <w:r w:rsidR="0061599F" w:rsidRPr="00266D8D">
        <w:rPr>
          <w:rFonts w:ascii="Calibri" w:hAnsi="Calibri" w:cs="Calibri"/>
          <w:lang w:val="it-IT"/>
        </w:rPr>
        <w:t>l’immissione</w:t>
      </w:r>
      <w:r w:rsidRPr="00266D8D">
        <w:rPr>
          <w:rFonts w:ascii="Calibri" w:hAnsi="Calibri" w:cs="Calibri"/>
          <w:lang w:val="it-IT"/>
        </w:rPr>
        <w:t xml:space="preserve"> del MI300 (il rispettivo chip per le GPU), oltre</w:t>
      </w:r>
      <w:r w:rsidR="002E7C68" w:rsidRPr="00266D8D">
        <w:rPr>
          <w:rFonts w:ascii="Calibri" w:hAnsi="Calibri" w:cs="Calibri"/>
          <w:lang w:val="it-IT"/>
        </w:rPr>
        <w:t xml:space="preserve"> che</w:t>
      </w:r>
      <w:r w:rsidRPr="00266D8D">
        <w:rPr>
          <w:rFonts w:ascii="Calibri" w:hAnsi="Calibri" w:cs="Calibri"/>
          <w:lang w:val="it-IT"/>
        </w:rPr>
        <w:t xml:space="preserve"> </w:t>
      </w:r>
      <w:r w:rsidRPr="00266D8D">
        <w:rPr>
          <w:rFonts w:ascii="Calibri" w:hAnsi="Calibri" w:cs="Calibri"/>
          <w:b/>
          <w:bCs/>
          <w:lang w:val="it-IT"/>
        </w:rPr>
        <w:t xml:space="preserve">Microsoft </w:t>
      </w:r>
      <w:r w:rsidRPr="00266D8D">
        <w:rPr>
          <w:rFonts w:ascii="Calibri" w:hAnsi="Calibri" w:cs="Calibri"/>
          <w:lang w:val="it-IT"/>
        </w:rPr>
        <w:t xml:space="preserve">e </w:t>
      </w:r>
      <w:r w:rsidRPr="00266D8D">
        <w:rPr>
          <w:rFonts w:ascii="Calibri" w:hAnsi="Calibri" w:cs="Calibri"/>
          <w:b/>
          <w:bCs/>
          <w:lang w:val="it-IT"/>
        </w:rPr>
        <w:t>Amazon</w:t>
      </w:r>
      <w:r w:rsidR="00314E76" w:rsidRPr="00266D8D">
        <w:rPr>
          <w:rFonts w:ascii="Calibri" w:hAnsi="Calibri" w:cs="Calibri"/>
          <w:lang w:val="it-IT"/>
        </w:rPr>
        <w:t>,</w:t>
      </w:r>
      <w:r w:rsidRPr="00266D8D">
        <w:rPr>
          <w:rFonts w:ascii="Calibri" w:hAnsi="Calibri" w:cs="Calibri"/>
          <w:lang w:val="it-IT"/>
        </w:rPr>
        <w:t xml:space="preserve"> che </w:t>
      </w:r>
      <w:r w:rsidR="002E7C68" w:rsidRPr="00266D8D">
        <w:rPr>
          <w:rFonts w:ascii="Calibri" w:hAnsi="Calibri" w:cs="Calibri"/>
          <w:lang w:val="it-IT"/>
        </w:rPr>
        <w:t xml:space="preserve">presentano </w:t>
      </w:r>
      <w:r w:rsidRPr="00266D8D">
        <w:rPr>
          <w:rFonts w:ascii="Calibri" w:hAnsi="Calibri" w:cs="Calibri"/>
          <w:lang w:val="it-IT"/>
        </w:rPr>
        <w:t xml:space="preserve">attività </w:t>
      </w:r>
      <w:r w:rsidR="00314E76" w:rsidRPr="00266D8D">
        <w:rPr>
          <w:rFonts w:ascii="Calibri" w:hAnsi="Calibri" w:cs="Calibri"/>
          <w:lang w:val="it-IT"/>
        </w:rPr>
        <w:t>nel</w:t>
      </w:r>
      <w:r w:rsidRPr="00266D8D">
        <w:rPr>
          <w:rFonts w:ascii="Calibri" w:hAnsi="Calibri" w:cs="Calibri"/>
          <w:lang w:val="it-IT"/>
        </w:rPr>
        <w:t xml:space="preserve"> cloud computing che dovrebbero </w:t>
      </w:r>
      <w:r w:rsidR="00314E76" w:rsidRPr="00266D8D">
        <w:rPr>
          <w:rFonts w:ascii="Calibri" w:hAnsi="Calibri" w:cs="Calibri"/>
          <w:lang w:val="it-IT"/>
        </w:rPr>
        <w:t>registrare un’accelerazione</w:t>
      </w:r>
      <w:r w:rsidRPr="00266D8D">
        <w:rPr>
          <w:rFonts w:ascii="Calibri" w:hAnsi="Calibri" w:cs="Calibri"/>
          <w:lang w:val="it-IT"/>
        </w:rPr>
        <w:t xml:space="preserve"> nel 2025.</w:t>
      </w:r>
      <w:r w:rsidR="00D55343">
        <w:rPr>
          <w:rFonts w:ascii="Calibri" w:hAnsi="Calibri" w:cs="Calibri"/>
          <w:lang w:val="it-IT"/>
        </w:rPr>
        <w:t xml:space="preserve"> </w:t>
      </w:r>
      <w:r w:rsidR="00314E76" w:rsidRPr="00266D8D">
        <w:rPr>
          <w:rFonts w:ascii="Calibri" w:hAnsi="Calibri" w:cs="Calibri"/>
          <w:lang w:val="it-IT"/>
        </w:rPr>
        <w:t xml:space="preserve">Durante la stagione di comunicazione degli utili, molte aziende tecnologiche hanno confermato </w:t>
      </w:r>
      <w:r w:rsidR="00666FDE">
        <w:rPr>
          <w:rFonts w:ascii="Calibri" w:hAnsi="Calibri" w:cs="Calibri"/>
          <w:lang w:val="it-IT"/>
        </w:rPr>
        <w:t xml:space="preserve">che </w:t>
      </w:r>
      <w:r w:rsidR="00F2256B" w:rsidRPr="00266D8D">
        <w:rPr>
          <w:rFonts w:ascii="Calibri" w:hAnsi="Calibri" w:cs="Calibri"/>
          <w:lang w:val="it-IT"/>
        </w:rPr>
        <w:t>si sta</w:t>
      </w:r>
      <w:r w:rsidR="00666FDE">
        <w:rPr>
          <w:rFonts w:ascii="Calibri" w:hAnsi="Calibri" w:cs="Calibri"/>
          <w:lang w:val="it-IT"/>
        </w:rPr>
        <w:t xml:space="preserve"> </w:t>
      </w:r>
      <w:r w:rsidR="00182700" w:rsidRPr="00266D8D">
        <w:rPr>
          <w:rFonts w:ascii="Calibri" w:hAnsi="Calibri" w:cs="Calibri"/>
          <w:lang w:val="it-IT"/>
        </w:rPr>
        <w:t>registrando un’accelerazione</w:t>
      </w:r>
      <w:r w:rsidR="00314E76" w:rsidRPr="00266D8D">
        <w:rPr>
          <w:rFonts w:ascii="Calibri" w:hAnsi="Calibri" w:cs="Calibri"/>
          <w:lang w:val="it-IT"/>
        </w:rPr>
        <w:t xml:space="preserve">, </w:t>
      </w:r>
      <w:r w:rsidR="002D59A5" w:rsidRPr="00266D8D">
        <w:rPr>
          <w:rFonts w:ascii="Calibri" w:hAnsi="Calibri" w:cs="Calibri"/>
          <w:lang w:val="it-IT"/>
        </w:rPr>
        <w:t>avvantaggiando la</w:t>
      </w:r>
      <w:r w:rsidR="00314E76" w:rsidRPr="00266D8D">
        <w:rPr>
          <w:rFonts w:ascii="Calibri" w:hAnsi="Calibri" w:cs="Calibri"/>
          <w:lang w:val="it-IT"/>
        </w:rPr>
        <w:t xml:space="preserve"> domanda di infrastrutture e chip, </w:t>
      </w:r>
      <w:r w:rsidR="002D59A5" w:rsidRPr="00266D8D">
        <w:rPr>
          <w:rFonts w:ascii="Calibri" w:hAnsi="Calibri" w:cs="Calibri"/>
          <w:lang w:val="it-IT"/>
        </w:rPr>
        <w:t>e fornendo</w:t>
      </w:r>
      <w:r w:rsidR="00314E76" w:rsidRPr="00266D8D">
        <w:rPr>
          <w:rFonts w:ascii="Calibri" w:hAnsi="Calibri" w:cs="Calibri"/>
          <w:lang w:val="it-IT"/>
        </w:rPr>
        <w:t xml:space="preserve"> opportunità di monetizzazione ad altri titoli e settori tecnologici</w:t>
      </w:r>
      <w:r w:rsidR="007B5FA8" w:rsidRPr="00266D8D">
        <w:rPr>
          <w:rFonts w:ascii="Calibri" w:hAnsi="Calibri" w:cs="Calibri"/>
          <w:lang w:val="it-IT"/>
        </w:rPr>
        <w:t>.</w:t>
      </w:r>
    </w:p>
    <w:p w14:paraId="4CA00358" w14:textId="77777777" w:rsidR="00266D8D" w:rsidRPr="00266D8D" w:rsidRDefault="00266D8D" w:rsidP="00266D8D">
      <w:pPr>
        <w:pStyle w:val="Corpotesto"/>
        <w:ind w:left="0"/>
        <w:contextualSpacing/>
        <w:rPr>
          <w:rFonts w:ascii="Calibri" w:hAnsi="Calibri" w:cs="Calibri"/>
          <w:lang w:val="it-IT"/>
        </w:rPr>
      </w:pPr>
    </w:p>
    <w:p w14:paraId="02CF72F8" w14:textId="646D6486" w:rsidR="000E5319" w:rsidRPr="00266D8D" w:rsidRDefault="00FF136D" w:rsidP="00266D8D">
      <w:pPr>
        <w:pStyle w:val="Corpotesto"/>
        <w:ind w:left="0" w:right="180"/>
        <w:contextualSpacing/>
        <w:rPr>
          <w:rFonts w:ascii="Calibri" w:hAnsi="Calibri" w:cs="Calibri"/>
          <w:lang w:val="it-IT"/>
        </w:rPr>
      </w:pPr>
      <w:r>
        <w:rPr>
          <w:rFonts w:ascii="Calibri" w:hAnsi="Calibri" w:cs="Calibri"/>
          <w:u w:val="single"/>
          <w:lang w:val="it-IT"/>
        </w:rPr>
        <w:t>I titoli in testa nella lotta all’</w:t>
      </w:r>
      <w:r w:rsidR="00F10764" w:rsidRPr="00266D8D">
        <w:rPr>
          <w:rFonts w:ascii="Calibri" w:hAnsi="Calibri" w:cs="Calibri"/>
          <w:u w:val="single"/>
          <w:lang w:val="it-IT"/>
        </w:rPr>
        <w:t>obesità</w:t>
      </w:r>
      <w:r w:rsidR="008770D0" w:rsidRPr="00266D8D">
        <w:rPr>
          <w:rFonts w:ascii="Calibri" w:hAnsi="Calibri" w:cs="Calibri"/>
          <w:u w:val="single"/>
          <w:lang w:val="it-IT"/>
        </w:rPr>
        <w:br/>
      </w:r>
      <w:r w:rsidR="00F20396" w:rsidRPr="00266D8D">
        <w:rPr>
          <w:rFonts w:ascii="Calibri" w:hAnsi="Calibri" w:cs="Calibri"/>
          <w:lang w:val="it-IT"/>
        </w:rPr>
        <w:t xml:space="preserve">Sebbene non si tratti di una scoperta, </w:t>
      </w:r>
      <w:r w:rsidR="0006370C" w:rsidRPr="00266D8D">
        <w:rPr>
          <w:rFonts w:ascii="Calibri" w:hAnsi="Calibri" w:cs="Calibri"/>
          <w:lang w:val="it-IT"/>
        </w:rPr>
        <w:t>a nostro giudizio</w:t>
      </w:r>
      <w:r w:rsidR="00F20396" w:rsidRPr="00266D8D">
        <w:rPr>
          <w:rFonts w:ascii="Calibri" w:hAnsi="Calibri" w:cs="Calibri"/>
          <w:lang w:val="it-IT"/>
        </w:rPr>
        <w:t xml:space="preserve"> siamo ancora agli inizi del ciclo di adozione del GLP-1</w:t>
      </w:r>
      <w:r w:rsidR="007B5FA8" w:rsidRPr="00266D8D">
        <w:rPr>
          <w:rFonts w:ascii="Calibri" w:hAnsi="Calibri" w:cs="Calibri"/>
          <w:lang w:val="it-IT"/>
        </w:rPr>
        <w:t>.</w:t>
      </w:r>
      <w:r w:rsidR="007B5FA8" w:rsidRPr="00266D8D">
        <w:rPr>
          <w:rFonts w:ascii="Calibri" w:hAnsi="Calibri" w:cs="Calibri"/>
          <w:spacing w:val="-5"/>
          <w:lang w:val="it-IT"/>
        </w:rPr>
        <w:t xml:space="preserve"> </w:t>
      </w:r>
      <w:r w:rsidR="0006370C" w:rsidRPr="00266D8D">
        <w:rPr>
          <w:rFonts w:ascii="Calibri" w:hAnsi="Calibri" w:cs="Calibri"/>
          <w:spacing w:val="-5"/>
          <w:lang w:val="it-IT"/>
        </w:rPr>
        <w:t>Sono presenti</w:t>
      </w:r>
      <w:r w:rsidR="00F20396" w:rsidRPr="00266D8D">
        <w:rPr>
          <w:rFonts w:ascii="Calibri" w:hAnsi="Calibri" w:cs="Calibri"/>
          <w:spacing w:val="-5"/>
          <w:lang w:val="it-IT"/>
        </w:rPr>
        <w:t xml:space="preserve"> circa 100 milioni di obesi solo negli USA, e indicativamente 50 milioni hanno sottoscritto una copertura assicurativa, </w:t>
      </w:r>
      <w:r w:rsidR="0006370C" w:rsidRPr="00266D8D">
        <w:rPr>
          <w:rFonts w:ascii="Calibri" w:hAnsi="Calibri" w:cs="Calibri"/>
          <w:spacing w:val="-5"/>
          <w:lang w:val="it-IT"/>
        </w:rPr>
        <w:t>mentre</w:t>
      </w:r>
      <w:r w:rsidR="00F20396" w:rsidRPr="00266D8D">
        <w:rPr>
          <w:rFonts w:ascii="Calibri" w:hAnsi="Calibri" w:cs="Calibri"/>
          <w:spacing w:val="-5"/>
          <w:lang w:val="it-IT"/>
        </w:rPr>
        <w:t xml:space="preserve"> meno di un milione </w:t>
      </w:r>
      <w:r w:rsidR="00666FDE">
        <w:rPr>
          <w:rFonts w:ascii="Calibri" w:hAnsi="Calibri" w:cs="Calibri"/>
          <w:spacing w:val="-5"/>
          <w:lang w:val="it-IT"/>
        </w:rPr>
        <w:t>è sottoposto a cure</w:t>
      </w:r>
      <w:r w:rsidR="00F20396" w:rsidRPr="00266D8D">
        <w:rPr>
          <w:rFonts w:ascii="Calibri" w:hAnsi="Calibri" w:cs="Calibri"/>
          <w:spacing w:val="-5"/>
          <w:lang w:val="it-IT"/>
        </w:rPr>
        <w:t xml:space="preserve">. </w:t>
      </w:r>
      <w:r w:rsidR="00CA64F9">
        <w:rPr>
          <w:rFonts w:ascii="Calibri" w:hAnsi="Calibri" w:cs="Calibri"/>
          <w:spacing w:val="-5"/>
          <w:lang w:val="it-IT"/>
        </w:rPr>
        <w:t>Deteniamo</w:t>
      </w:r>
      <w:r w:rsidR="00F20396" w:rsidRPr="00266D8D">
        <w:rPr>
          <w:rFonts w:ascii="Calibri" w:hAnsi="Calibri" w:cs="Calibri"/>
          <w:spacing w:val="-5"/>
          <w:lang w:val="it-IT"/>
        </w:rPr>
        <w:t xml:space="preserve"> sia </w:t>
      </w:r>
      <w:r w:rsidR="00F20396" w:rsidRPr="00266D8D">
        <w:rPr>
          <w:rFonts w:ascii="Calibri" w:hAnsi="Calibri" w:cs="Calibri"/>
          <w:b/>
          <w:bCs/>
          <w:spacing w:val="-5"/>
          <w:lang w:val="it-IT"/>
        </w:rPr>
        <w:t>Eli Lilly</w:t>
      </w:r>
      <w:r w:rsidR="00F20396" w:rsidRPr="00266D8D">
        <w:rPr>
          <w:rFonts w:ascii="Calibri" w:hAnsi="Calibri" w:cs="Calibri"/>
          <w:spacing w:val="-5"/>
          <w:lang w:val="it-IT"/>
        </w:rPr>
        <w:t xml:space="preserve"> che </w:t>
      </w:r>
      <w:r w:rsidR="00F20396" w:rsidRPr="00266D8D">
        <w:rPr>
          <w:rFonts w:ascii="Calibri" w:hAnsi="Calibri" w:cs="Calibri"/>
          <w:b/>
          <w:bCs/>
          <w:spacing w:val="-5"/>
          <w:lang w:val="it-IT"/>
        </w:rPr>
        <w:t>Novo Nordisk</w:t>
      </w:r>
      <w:r w:rsidR="00F20396" w:rsidRPr="00266D8D">
        <w:rPr>
          <w:rFonts w:ascii="Calibri" w:hAnsi="Calibri" w:cs="Calibri"/>
          <w:spacing w:val="-5"/>
          <w:lang w:val="it-IT"/>
        </w:rPr>
        <w:t xml:space="preserve">, nonché l'azienda farmaceutica giapponese </w:t>
      </w:r>
      <w:r w:rsidR="00F20396" w:rsidRPr="00266D8D">
        <w:rPr>
          <w:rFonts w:ascii="Calibri" w:hAnsi="Calibri" w:cs="Calibri"/>
          <w:b/>
          <w:bCs/>
          <w:spacing w:val="-5"/>
          <w:lang w:val="it-IT"/>
        </w:rPr>
        <w:t>Shionogi</w:t>
      </w:r>
      <w:r w:rsidR="002C76AC" w:rsidRPr="00266D8D">
        <w:rPr>
          <w:rFonts w:ascii="Calibri" w:hAnsi="Calibri" w:cs="Calibri"/>
          <w:b/>
          <w:bCs/>
          <w:spacing w:val="-5"/>
          <w:lang w:val="it-IT"/>
        </w:rPr>
        <w:t xml:space="preserve"> </w:t>
      </w:r>
      <w:r w:rsidR="00F20396" w:rsidRPr="00266D8D">
        <w:rPr>
          <w:rFonts w:ascii="Calibri" w:hAnsi="Calibri" w:cs="Calibri"/>
          <w:spacing w:val="-5"/>
          <w:lang w:val="it-IT"/>
        </w:rPr>
        <w:t>per partecipare al ciclo del GLP-1</w:t>
      </w:r>
      <w:r w:rsidR="007B5FA8" w:rsidRPr="00266D8D">
        <w:rPr>
          <w:rFonts w:ascii="Calibri" w:hAnsi="Calibri" w:cs="Calibri"/>
          <w:lang w:val="it-IT"/>
        </w:rPr>
        <w:t>.</w:t>
      </w:r>
      <w:r w:rsidR="00666FDE">
        <w:rPr>
          <w:rFonts w:ascii="Calibri" w:hAnsi="Calibri" w:cs="Calibri"/>
          <w:lang w:val="it-IT"/>
        </w:rPr>
        <w:t xml:space="preserve"> </w:t>
      </w:r>
      <w:r w:rsidR="00C74FFE" w:rsidRPr="00266D8D">
        <w:rPr>
          <w:rFonts w:ascii="Calibri" w:hAnsi="Calibri" w:cs="Calibri"/>
          <w:lang w:val="it-IT"/>
        </w:rPr>
        <w:t>La capacità è stata un problema sia per Eli Lilly che per Novo Nordisk, ma riteniamo che stiamo per</w:t>
      </w:r>
      <w:r w:rsidR="00D55343">
        <w:rPr>
          <w:rFonts w:ascii="Calibri" w:hAnsi="Calibri" w:cs="Calibri"/>
          <w:lang w:val="it-IT"/>
        </w:rPr>
        <w:t xml:space="preserve"> </w:t>
      </w:r>
      <w:r w:rsidR="00C74FFE" w:rsidRPr="00266D8D">
        <w:rPr>
          <w:rFonts w:ascii="Calibri" w:hAnsi="Calibri" w:cs="Calibri"/>
          <w:lang w:val="it-IT"/>
        </w:rPr>
        <w:t xml:space="preserve">assistere a una riaccelerazione della crescita delle prescrizioni per il GLP-1. Per far fronte ai problemi di capacità, Eli Lilly ha avviato la produzione </w:t>
      </w:r>
      <w:r w:rsidR="0013627F" w:rsidRPr="00266D8D">
        <w:rPr>
          <w:rFonts w:ascii="Calibri" w:hAnsi="Calibri" w:cs="Calibri"/>
          <w:lang w:val="it-IT"/>
        </w:rPr>
        <w:t>presso il</w:t>
      </w:r>
      <w:r w:rsidR="00C74FFE" w:rsidRPr="00266D8D">
        <w:rPr>
          <w:rFonts w:ascii="Calibri" w:hAnsi="Calibri" w:cs="Calibri"/>
          <w:lang w:val="it-IT"/>
        </w:rPr>
        <w:t xml:space="preserve"> suo secondo stabilimento principale in North Carolina, ma ciò non </w:t>
      </w:r>
      <w:r w:rsidR="0013627F" w:rsidRPr="00266D8D">
        <w:rPr>
          <w:rFonts w:ascii="Calibri" w:hAnsi="Calibri" w:cs="Calibri"/>
          <w:lang w:val="it-IT"/>
        </w:rPr>
        <w:t xml:space="preserve">ha ancora generato delle ripercussioni </w:t>
      </w:r>
      <w:r w:rsidR="00C74FFE" w:rsidRPr="00266D8D">
        <w:rPr>
          <w:rFonts w:ascii="Calibri" w:hAnsi="Calibri" w:cs="Calibri"/>
          <w:lang w:val="it-IT"/>
        </w:rPr>
        <w:t>nel volume de</w:t>
      </w:r>
      <w:r w:rsidR="00661986" w:rsidRPr="00266D8D">
        <w:rPr>
          <w:rFonts w:ascii="Calibri" w:hAnsi="Calibri" w:cs="Calibri"/>
          <w:lang w:val="it-IT"/>
        </w:rPr>
        <w:t>lle ricette</w:t>
      </w:r>
      <w:r w:rsidR="00C74FFE" w:rsidRPr="00266D8D">
        <w:rPr>
          <w:rFonts w:ascii="Calibri" w:hAnsi="Calibri" w:cs="Calibri"/>
          <w:lang w:val="it-IT"/>
        </w:rPr>
        <w:t xml:space="preserve">. Stiamo osservando che il lancio del farmaco </w:t>
      </w:r>
      <w:r w:rsidR="00661986" w:rsidRPr="00266D8D">
        <w:rPr>
          <w:rFonts w:ascii="Calibri" w:hAnsi="Calibri" w:cs="Calibri"/>
          <w:lang w:val="it-IT"/>
        </w:rPr>
        <w:t xml:space="preserve">contro </w:t>
      </w:r>
      <w:r w:rsidR="00C74FFE" w:rsidRPr="00266D8D">
        <w:rPr>
          <w:rFonts w:ascii="Calibri" w:hAnsi="Calibri" w:cs="Calibri"/>
          <w:lang w:val="it-IT"/>
        </w:rPr>
        <w:t>l'obesità Zepbound ha superato quello di Mounjaro, che è stato molto più rapido in termini d</w:t>
      </w:r>
      <w:r w:rsidR="00661986" w:rsidRPr="00266D8D">
        <w:rPr>
          <w:rFonts w:ascii="Calibri" w:hAnsi="Calibri" w:cs="Calibri"/>
          <w:lang w:val="it-IT"/>
        </w:rPr>
        <w:t>’i</w:t>
      </w:r>
      <w:r w:rsidR="0061599F" w:rsidRPr="00266D8D">
        <w:rPr>
          <w:rFonts w:ascii="Calibri" w:hAnsi="Calibri" w:cs="Calibri"/>
          <w:lang w:val="it-IT"/>
        </w:rPr>
        <w:t>mmissione</w:t>
      </w:r>
      <w:r w:rsidR="00C74FFE" w:rsidRPr="00266D8D">
        <w:rPr>
          <w:rFonts w:ascii="Calibri" w:hAnsi="Calibri" w:cs="Calibri"/>
          <w:lang w:val="it-IT"/>
        </w:rPr>
        <w:t xml:space="preserve">. </w:t>
      </w:r>
      <w:r w:rsidR="00573B85">
        <w:rPr>
          <w:rFonts w:ascii="Calibri" w:hAnsi="Calibri" w:cs="Calibri"/>
          <w:lang w:val="it-IT"/>
        </w:rPr>
        <w:t>Intanto</w:t>
      </w:r>
      <w:r w:rsidR="00C74FFE" w:rsidRPr="00266D8D">
        <w:rPr>
          <w:rFonts w:ascii="Calibri" w:hAnsi="Calibri" w:cs="Calibri"/>
          <w:lang w:val="it-IT"/>
        </w:rPr>
        <w:t>, a</w:t>
      </w:r>
      <w:r w:rsidR="0016257D" w:rsidRPr="00266D8D">
        <w:rPr>
          <w:rFonts w:ascii="Calibri" w:hAnsi="Calibri" w:cs="Calibri"/>
          <w:lang w:val="it-IT"/>
        </w:rPr>
        <w:t xml:space="preserve"> inizio</w:t>
      </w:r>
      <w:r w:rsidR="00C74FFE" w:rsidRPr="00266D8D">
        <w:rPr>
          <w:rFonts w:ascii="Calibri" w:hAnsi="Calibri" w:cs="Calibri"/>
          <w:lang w:val="it-IT"/>
        </w:rPr>
        <w:t xml:space="preserve"> febbraio Novo Nordisk ha annunciato l'intenzione di </w:t>
      </w:r>
      <w:r w:rsidR="002D1559" w:rsidRPr="00266D8D">
        <w:rPr>
          <w:rFonts w:ascii="Calibri" w:hAnsi="Calibri" w:cs="Calibri"/>
          <w:lang w:val="it-IT"/>
        </w:rPr>
        <w:t>voler acquistare</w:t>
      </w:r>
      <w:r w:rsidR="00C74FFE" w:rsidRPr="00266D8D">
        <w:rPr>
          <w:rFonts w:ascii="Calibri" w:hAnsi="Calibri" w:cs="Calibri"/>
          <w:lang w:val="it-IT"/>
        </w:rPr>
        <w:t xml:space="preserve"> Catalent per 11 miliardi di </w:t>
      </w:r>
      <w:r w:rsidR="00F339C2" w:rsidRPr="00266D8D">
        <w:rPr>
          <w:rFonts w:ascii="Calibri" w:hAnsi="Calibri" w:cs="Calibri"/>
          <w:lang w:val="it-IT"/>
        </w:rPr>
        <w:t>dollari</w:t>
      </w:r>
      <w:r w:rsidR="00C74FFE" w:rsidRPr="00266D8D">
        <w:rPr>
          <w:rFonts w:ascii="Calibri" w:hAnsi="Calibri" w:cs="Calibri"/>
          <w:lang w:val="it-IT"/>
        </w:rPr>
        <w:t>, il che dovrebbe accelerare la capacità produttiva di un paio d'anni</w:t>
      </w:r>
      <w:r w:rsidR="00666FDE">
        <w:rPr>
          <w:rFonts w:ascii="Calibri" w:hAnsi="Calibri" w:cs="Calibri"/>
          <w:lang w:val="it-IT"/>
        </w:rPr>
        <w:t>, in quanto</w:t>
      </w:r>
      <w:r w:rsidR="00573B85">
        <w:rPr>
          <w:rFonts w:ascii="Calibri" w:hAnsi="Calibri" w:cs="Calibri"/>
          <w:lang w:val="it-IT"/>
        </w:rPr>
        <w:t xml:space="preserve"> </w:t>
      </w:r>
      <w:r w:rsidR="00C74FFE" w:rsidRPr="00266D8D">
        <w:rPr>
          <w:rFonts w:ascii="Calibri" w:hAnsi="Calibri" w:cs="Calibri"/>
          <w:lang w:val="it-IT"/>
        </w:rPr>
        <w:t xml:space="preserve">non dovrà assumere nuovo personale, formare </w:t>
      </w:r>
      <w:r w:rsidR="002D1559" w:rsidRPr="00266D8D">
        <w:rPr>
          <w:rFonts w:ascii="Calibri" w:hAnsi="Calibri" w:cs="Calibri"/>
          <w:lang w:val="it-IT"/>
        </w:rPr>
        <w:t>gli addetti</w:t>
      </w:r>
      <w:r w:rsidR="00C74FFE" w:rsidRPr="00266D8D">
        <w:rPr>
          <w:rFonts w:ascii="Calibri" w:hAnsi="Calibri" w:cs="Calibri"/>
          <w:lang w:val="it-IT"/>
        </w:rPr>
        <w:t xml:space="preserve"> o costruire</w:t>
      </w:r>
      <w:r w:rsidR="00573B85">
        <w:rPr>
          <w:rFonts w:ascii="Calibri" w:hAnsi="Calibri" w:cs="Calibri"/>
          <w:lang w:val="it-IT"/>
        </w:rPr>
        <w:t xml:space="preserve"> nuovi</w:t>
      </w:r>
      <w:r w:rsidR="002D1559" w:rsidRPr="00266D8D">
        <w:rPr>
          <w:rFonts w:ascii="Calibri" w:hAnsi="Calibri" w:cs="Calibri"/>
          <w:lang w:val="it-IT"/>
        </w:rPr>
        <w:t xml:space="preserve"> impianti</w:t>
      </w:r>
      <w:r w:rsidR="00C74FFE" w:rsidRPr="00266D8D">
        <w:rPr>
          <w:rFonts w:ascii="Calibri" w:hAnsi="Calibri" w:cs="Calibri"/>
          <w:lang w:val="it-IT"/>
        </w:rPr>
        <w:t>.</w:t>
      </w:r>
    </w:p>
    <w:sectPr w:rsidR="000E5319" w:rsidRPr="00266D8D" w:rsidSect="00266D8D">
      <w:pgSz w:w="11910" w:h="16840"/>
      <w:pgMar w:top="1340" w:right="1320" w:bottom="1276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BD2BCA"/>
    <w:multiLevelType w:val="hybridMultilevel"/>
    <w:tmpl w:val="3C4A2CF6"/>
    <w:lvl w:ilvl="0" w:tplc="36D86124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8B00BE6">
      <w:numFmt w:val="bullet"/>
      <w:lvlText w:val="•"/>
      <w:lvlJc w:val="left"/>
      <w:pPr>
        <w:ind w:left="1682" w:hanging="361"/>
      </w:pPr>
      <w:rPr>
        <w:rFonts w:hint="default"/>
        <w:lang w:val="en-US" w:eastAsia="en-US" w:bidi="ar-SA"/>
      </w:rPr>
    </w:lvl>
    <w:lvl w:ilvl="2" w:tplc="C098FB36">
      <w:numFmt w:val="bullet"/>
      <w:lvlText w:val="•"/>
      <w:lvlJc w:val="left"/>
      <w:pPr>
        <w:ind w:left="2525" w:hanging="361"/>
      </w:pPr>
      <w:rPr>
        <w:rFonts w:hint="default"/>
        <w:lang w:val="en-US" w:eastAsia="en-US" w:bidi="ar-SA"/>
      </w:rPr>
    </w:lvl>
    <w:lvl w:ilvl="3" w:tplc="017AE830">
      <w:numFmt w:val="bullet"/>
      <w:lvlText w:val="•"/>
      <w:lvlJc w:val="left"/>
      <w:pPr>
        <w:ind w:left="3367" w:hanging="361"/>
      </w:pPr>
      <w:rPr>
        <w:rFonts w:hint="default"/>
        <w:lang w:val="en-US" w:eastAsia="en-US" w:bidi="ar-SA"/>
      </w:rPr>
    </w:lvl>
    <w:lvl w:ilvl="4" w:tplc="21A874CC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5" w:tplc="22427EC6">
      <w:numFmt w:val="bullet"/>
      <w:lvlText w:val="•"/>
      <w:lvlJc w:val="left"/>
      <w:pPr>
        <w:ind w:left="5053" w:hanging="361"/>
      </w:pPr>
      <w:rPr>
        <w:rFonts w:hint="default"/>
        <w:lang w:val="en-US" w:eastAsia="en-US" w:bidi="ar-SA"/>
      </w:rPr>
    </w:lvl>
    <w:lvl w:ilvl="6" w:tplc="D31C82D0">
      <w:numFmt w:val="bullet"/>
      <w:lvlText w:val="•"/>
      <w:lvlJc w:val="left"/>
      <w:pPr>
        <w:ind w:left="5895" w:hanging="361"/>
      </w:pPr>
      <w:rPr>
        <w:rFonts w:hint="default"/>
        <w:lang w:val="en-US" w:eastAsia="en-US" w:bidi="ar-SA"/>
      </w:rPr>
    </w:lvl>
    <w:lvl w:ilvl="7" w:tplc="FB988926">
      <w:numFmt w:val="bullet"/>
      <w:lvlText w:val="•"/>
      <w:lvlJc w:val="left"/>
      <w:pPr>
        <w:ind w:left="6738" w:hanging="361"/>
      </w:pPr>
      <w:rPr>
        <w:rFonts w:hint="default"/>
        <w:lang w:val="en-US" w:eastAsia="en-US" w:bidi="ar-SA"/>
      </w:rPr>
    </w:lvl>
    <w:lvl w:ilvl="8" w:tplc="055E4B08">
      <w:numFmt w:val="bullet"/>
      <w:lvlText w:val="•"/>
      <w:lvlJc w:val="left"/>
      <w:pPr>
        <w:ind w:left="7581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6E632BB3"/>
    <w:multiLevelType w:val="hybridMultilevel"/>
    <w:tmpl w:val="402A0138"/>
    <w:lvl w:ilvl="0" w:tplc="4104BCE0">
      <w:numFmt w:val="bullet"/>
      <w:lvlText w:val="•"/>
      <w:lvlJc w:val="left"/>
      <w:pPr>
        <w:ind w:left="686" w:hanging="284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8ED62E62">
      <w:numFmt w:val="bullet"/>
      <w:lvlText w:val="•"/>
      <w:lvlJc w:val="left"/>
      <w:pPr>
        <w:ind w:left="1538" w:hanging="284"/>
      </w:pPr>
      <w:rPr>
        <w:rFonts w:hint="default"/>
        <w:lang w:val="en-US" w:eastAsia="en-US" w:bidi="ar-SA"/>
      </w:rPr>
    </w:lvl>
    <w:lvl w:ilvl="2" w:tplc="E09082DE">
      <w:numFmt w:val="bullet"/>
      <w:lvlText w:val="•"/>
      <w:lvlJc w:val="left"/>
      <w:pPr>
        <w:ind w:left="2397" w:hanging="284"/>
      </w:pPr>
      <w:rPr>
        <w:rFonts w:hint="default"/>
        <w:lang w:val="en-US" w:eastAsia="en-US" w:bidi="ar-SA"/>
      </w:rPr>
    </w:lvl>
    <w:lvl w:ilvl="3" w:tplc="10D413DA">
      <w:numFmt w:val="bullet"/>
      <w:lvlText w:val="•"/>
      <w:lvlJc w:val="left"/>
      <w:pPr>
        <w:ind w:left="3255" w:hanging="284"/>
      </w:pPr>
      <w:rPr>
        <w:rFonts w:hint="default"/>
        <w:lang w:val="en-US" w:eastAsia="en-US" w:bidi="ar-SA"/>
      </w:rPr>
    </w:lvl>
    <w:lvl w:ilvl="4" w:tplc="E6A86728">
      <w:numFmt w:val="bullet"/>
      <w:lvlText w:val="•"/>
      <w:lvlJc w:val="left"/>
      <w:pPr>
        <w:ind w:left="4114" w:hanging="284"/>
      </w:pPr>
      <w:rPr>
        <w:rFonts w:hint="default"/>
        <w:lang w:val="en-US" w:eastAsia="en-US" w:bidi="ar-SA"/>
      </w:rPr>
    </w:lvl>
    <w:lvl w:ilvl="5" w:tplc="C538A0E6">
      <w:numFmt w:val="bullet"/>
      <w:lvlText w:val="•"/>
      <w:lvlJc w:val="left"/>
      <w:pPr>
        <w:ind w:left="4973" w:hanging="284"/>
      </w:pPr>
      <w:rPr>
        <w:rFonts w:hint="default"/>
        <w:lang w:val="en-US" w:eastAsia="en-US" w:bidi="ar-SA"/>
      </w:rPr>
    </w:lvl>
    <w:lvl w:ilvl="6" w:tplc="03E856B8">
      <w:numFmt w:val="bullet"/>
      <w:lvlText w:val="•"/>
      <w:lvlJc w:val="left"/>
      <w:pPr>
        <w:ind w:left="5831" w:hanging="284"/>
      </w:pPr>
      <w:rPr>
        <w:rFonts w:hint="default"/>
        <w:lang w:val="en-US" w:eastAsia="en-US" w:bidi="ar-SA"/>
      </w:rPr>
    </w:lvl>
    <w:lvl w:ilvl="7" w:tplc="53042224">
      <w:numFmt w:val="bullet"/>
      <w:lvlText w:val="•"/>
      <w:lvlJc w:val="left"/>
      <w:pPr>
        <w:ind w:left="6690" w:hanging="284"/>
      </w:pPr>
      <w:rPr>
        <w:rFonts w:hint="default"/>
        <w:lang w:val="en-US" w:eastAsia="en-US" w:bidi="ar-SA"/>
      </w:rPr>
    </w:lvl>
    <w:lvl w:ilvl="8" w:tplc="2B5483EC">
      <w:numFmt w:val="bullet"/>
      <w:lvlText w:val="•"/>
      <w:lvlJc w:val="left"/>
      <w:pPr>
        <w:ind w:left="7549" w:hanging="284"/>
      </w:pPr>
      <w:rPr>
        <w:rFonts w:hint="default"/>
        <w:lang w:val="en-US" w:eastAsia="en-US" w:bidi="ar-SA"/>
      </w:rPr>
    </w:lvl>
  </w:abstractNum>
  <w:num w:numId="1" w16cid:durableId="1664119909">
    <w:abstractNumId w:val="1"/>
  </w:num>
  <w:num w:numId="2" w16cid:durableId="316037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319"/>
    <w:rsid w:val="0006370C"/>
    <w:rsid w:val="0009320D"/>
    <w:rsid w:val="000A32FB"/>
    <w:rsid w:val="000C652C"/>
    <w:rsid w:val="000E5319"/>
    <w:rsid w:val="0013627F"/>
    <w:rsid w:val="0016257D"/>
    <w:rsid w:val="001636FE"/>
    <w:rsid w:val="00182700"/>
    <w:rsid w:val="00182A8C"/>
    <w:rsid w:val="001831A0"/>
    <w:rsid w:val="0018382D"/>
    <w:rsid w:val="001C6ED5"/>
    <w:rsid w:val="001D6AB3"/>
    <w:rsid w:val="00237E60"/>
    <w:rsid w:val="00253292"/>
    <w:rsid w:val="00266D8D"/>
    <w:rsid w:val="002813D6"/>
    <w:rsid w:val="002B13CD"/>
    <w:rsid w:val="002C76AC"/>
    <w:rsid w:val="002D1559"/>
    <w:rsid w:val="002D59A5"/>
    <w:rsid w:val="002E7C68"/>
    <w:rsid w:val="00314E76"/>
    <w:rsid w:val="00340AEB"/>
    <w:rsid w:val="0038144F"/>
    <w:rsid w:val="003E05B4"/>
    <w:rsid w:val="0040356F"/>
    <w:rsid w:val="004263CB"/>
    <w:rsid w:val="00451E95"/>
    <w:rsid w:val="00454359"/>
    <w:rsid w:val="00455A54"/>
    <w:rsid w:val="004C13D4"/>
    <w:rsid w:val="004D18B6"/>
    <w:rsid w:val="004E3187"/>
    <w:rsid w:val="004E64BE"/>
    <w:rsid w:val="0050211A"/>
    <w:rsid w:val="00515A92"/>
    <w:rsid w:val="00565064"/>
    <w:rsid w:val="00573B85"/>
    <w:rsid w:val="0061599F"/>
    <w:rsid w:val="00661986"/>
    <w:rsid w:val="00666FDE"/>
    <w:rsid w:val="006B3F3A"/>
    <w:rsid w:val="006C2641"/>
    <w:rsid w:val="00706666"/>
    <w:rsid w:val="00746D4C"/>
    <w:rsid w:val="00751B4D"/>
    <w:rsid w:val="00793E76"/>
    <w:rsid w:val="007B5FA8"/>
    <w:rsid w:val="007C7729"/>
    <w:rsid w:val="007E68DB"/>
    <w:rsid w:val="00820832"/>
    <w:rsid w:val="00844A76"/>
    <w:rsid w:val="008770D0"/>
    <w:rsid w:val="008F13C3"/>
    <w:rsid w:val="009523A9"/>
    <w:rsid w:val="009648A4"/>
    <w:rsid w:val="009708D3"/>
    <w:rsid w:val="009727AD"/>
    <w:rsid w:val="0098734C"/>
    <w:rsid w:val="009A16AA"/>
    <w:rsid w:val="009A5EFB"/>
    <w:rsid w:val="009D3C70"/>
    <w:rsid w:val="009E2F4F"/>
    <w:rsid w:val="00A177FB"/>
    <w:rsid w:val="00A75073"/>
    <w:rsid w:val="00A909BA"/>
    <w:rsid w:val="00AD186F"/>
    <w:rsid w:val="00AD675E"/>
    <w:rsid w:val="00AF6D0F"/>
    <w:rsid w:val="00BB77EE"/>
    <w:rsid w:val="00BC5972"/>
    <w:rsid w:val="00BF3162"/>
    <w:rsid w:val="00C11B2C"/>
    <w:rsid w:val="00C40F48"/>
    <w:rsid w:val="00C74859"/>
    <w:rsid w:val="00C74FFE"/>
    <w:rsid w:val="00CA3E03"/>
    <w:rsid w:val="00CA64F9"/>
    <w:rsid w:val="00CB2AA7"/>
    <w:rsid w:val="00CF2AD6"/>
    <w:rsid w:val="00D55343"/>
    <w:rsid w:val="00D774F3"/>
    <w:rsid w:val="00DB01A7"/>
    <w:rsid w:val="00DF2664"/>
    <w:rsid w:val="00DF3FF6"/>
    <w:rsid w:val="00E32DA8"/>
    <w:rsid w:val="00E47BB1"/>
    <w:rsid w:val="00E92F17"/>
    <w:rsid w:val="00EA0EC1"/>
    <w:rsid w:val="00EA4B05"/>
    <w:rsid w:val="00F039E5"/>
    <w:rsid w:val="00F052C5"/>
    <w:rsid w:val="00F10764"/>
    <w:rsid w:val="00F20396"/>
    <w:rsid w:val="00F2256B"/>
    <w:rsid w:val="00F27AF7"/>
    <w:rsid w:val="00F27D64"/>
    <w:rsid w:val="00F339C2"/>
    <w:rsid w:val="00FD622D"/>
    <w:rsid w:val="00FF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12293"/>
  <w15:docId w15:val="{CCDC47F2-4190-4769-A0EE-E6441EC1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</w:rPr>
  </w:style>
  <w:style w:type="paragraph" w:styleId="Titolo1">
    <w:name w:val="heading 1"/>
    <w:basedOn w:val="Normale"/>
    <w:uiPriority w:val="9"/>
    <w:qFormat/>
    <w:pPr>
      <w:spacing w:before="80"/>
      <w:ind w:left="12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120"/>
      <w:outlineLvl w:val="1"/>
    </w:pPr>
    <w:rPr>
      <w:rFonts w:ascii="Arial" w:eastAsia="Arial" w:hAnsi="Arial" w:cs="Arial"/>
      <w:b/>
      <w:bCs/>
    </w:rPr>
  </w:style>
  <w:style w:type="paragraph" w:styleId="Titolo3">
    <w:name w:val="heading 3"/>
    <w:basedOn w:val="Normale"/>
    <w:uiPriority w:val="9"/>
    <w:unhideWhenUsed/>
    <w:qFormat/>
    <w:pPr>
      <w:spacing w:before="156"/>
      <w:ind w:left="120"/>
      <w:outlineLvl w:val="2"/>
    </w:pPr>
    <w:rPr>
      <w:rFonts w:ascii="Arial" w:eastAsia="Arial" w:hAnsi="Arial"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20"/>
    </w:pPr>
  </w:style>
  <w:style w:type="paragraph" w:styleId="Paragrafoelenco">
    <w:name w:val="List Paragraph"/>
    <w:basedOn w:val="Normale"/>
    <w:uiPriority w:val="1"/>
    <w:qFormat/>
    <w:pPr>
      <w:ind w:left="842" w:right="134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Revisione">
    <w:name w:val="Revision"/>
    <w:hidden/>
    <w:uiPriority w:val="99"/>
    <w:semiHidden/>
    <w:rsid w:val="00F339C2"/>
    <w:pPr>
      <w:widowControl/>
      <w:autoSpaceDE/>
      <w:autoSpaceDN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Sainsbury, Neil</dc:creator>
  <cp:lastModifiedBy>Diana Ferla</cp:lastModifiedBy>
  <cp:revision>81</cp:revision>
  <dcterms:created xsi:type="dcterms:W3CDTF">2024-03-15T15:39:00Z</dcterms:created>
  <dcterms:modified xsi:type="dcterms:W3CDTF">2024-03-28T09:48:00Z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2024-03-13T00:00:00Z</vt:filetime>
  </property>
</Properties>
</file>