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58A64" w14:textId="6D994F31" w:rsidR="00955CFA" w:rsidRPr="0091079E" w:rsidRDefault="00955CFA" w:rsidP="00D36B40">
      <w:pPr>
        <w:pStyle w:val="Coverdate"/>
        <w:spacing w:before="0" w:after="0"/>
        <w:contextualSpacing/>
        <w:rPr>
          <w:rFonts w:ascii="Calibri" w:hAnsi="Calibri" w:cs="Calibri"/>
          <w:b/>
          <w:bCs/>
          <w:color w:val="auto"/>
          <w:sz w:val="22"/>
          <w:szCs w:val="22"/>
          <w:lang w:val="it-IT"/>
        </w:rPr>
      </w:pPr>
      <w:r w:rsidRPr="0091079E">
        <w:rPr>
          <w:rFonts w:ascii="Calibri" w:hAnsi="Calibri" w:cs="Calibri"/>
          <w:b/>
          <w:bCs/>
          <w:color w:val="auto"/>
          <w:sz w:val="22"/>
          <w:szCs w:val="22"/>
          <w:lang w:val="it-IT"/>
        </w:rPr>
        <w:t>Schroders:</w:t>
      </w:r>
      <w:r w:rsidR="0091079E" w:rsidRPr="0091079E">
        <w:rPr>
          <w:rFonts w:ascii="Calibri" w:hAnsi="Calibri" w:cs="Calibri"/>
          <w:b/>
          <w:bCs/>
          <w:color w:val="auto"/>
          <w:sz w:val="22"/>
          <w:szCs w:val="22"/>
          <w:lang w:val="it-IT"/>
        </w:rPr>
        <w:t xml:space="preserve"> Real Estate, nuove opportunità dalle correzioni</w:t>
      </w:r>
      <w:r w:rsidR="0091079E">
        <w:rPr>
          <w:rFonts w:ascii="Calibri" w:hAnsi="Calibri" w:cs="Calibri"/>
          <w:b/>
          <w:bCs/>
          <w:color w:val="auto"/>
          <w:sz w:val="22"/>
          <w:szCs w:val="22"/>
          <w:lang w:val="it-IT"/>
        </w:rPr>
        <w:t xml:space="preserve"> degli ultimi mesi</w:t>
      </w:r>
    </w:p>
    <w:p w14:paraId="4482A5FC" w14:textId="77777777" w:rsidR="00D36B40" w:rsidRDefault="00D36B40" w:rsidP="00D36B40">
      <w:pPr>
        <w:pStyle w:val="Coverdate"/>
        <w:spacing w:before="0" w:after="0"/>
        <w:contextualSpacing/>
        <w:rPr>
          <w:rStyle w:val="Enfasigrassetto"/>
          <w:rFonts w:ascii="Calibri" w:hAnsi="Calibri" w:cs="Calibri"/>
          <w:b w:val="0"/>
          <w:bCs w:val="0"/>
          <w:color w:val="auto"/>
          <w:sz w:val="22"/>
          <w:szCs w:val="22"/>
        </w:rPr>
      </w:pPr>
    </w:p>
    <w:p w14:paraId="15ACD3E5" w14:textId="243FF40F" w:rsidR="00955CFA" w:rsidRPr="00955CFA" w:rsidRDefault="00955CFA" w:rsidP="00D36B40">
      <w:pPr>
        <w:pStyle w:val="Coverdate"/>
        <w:spacing w:before="0" w:after="0"/>
        <w:contextualSpacing/>
        <w:rPr>
          <w:rFonts w:ascii="Calibri" w:hAnsi="Calibri" w:cs="Calibri"/>
          <w:color w:val="auto"/>
          <w:sz w:val="22"/>
          <w:szCs w:val="22"/>
        </w:rPr>
      </w:pPr>
      <w:r>
        <w:rPr>
          <w:rStyle w:val="Enfasigrassetto"/>
          <w:rFonts w:ascii="Calibri" w:hAnsi="Calibri" w:cs="Calibri"/>
          <w:b w:val="0"/>
          <w:bCs w:val="0"/>
          <w:color w:val="auto"/>
          <w:sz w:val="22"/>
          <w:szCs w:val="22"/>
        </w:rPr>
        <w:t xml:space="preserve">A cura di </w:t>
      </w:r>
      <w:r w:rsidRPr="00955CFA">
        <w:rPr>
          <w:rStyle w:val="Enfasigrassetto"/>
          <w:rFonts w:ascii="Calibri" w:hAnsi="Calibri" w:cs="Calibri"/>
          <w:color w:val="auto"/>
          <w:sz w:val="22"/>
          <w:szCs w:val="22"/>
        </w:rPr>
        <w:t>Kieran Farrelly, Head of Global Solutions Real Estate</w:t>
      </w:r>
      <w:r>
        <w:rPr>
          <w:rStyle w:val="Enfasigrassetto"/>
          <w:rFonts w:ascii="Calibri" w:hAnsi="Calibri" w:cs="Calibri"/>
          <w:color w:val="auto"/>
          <w:sz w:val="22"/>
          <w:szCs w:val="22"/>
        </w:rPr>
        <w:t>,</w:t>
      </w:r>
      <w:r w:rsidRPr="00955CFA">
        <w:rPr>
          <w:rStyle w:val="Enfasigrassetto"/>
          <w:rFonts w:ascii="Calibri" w:hAnsi="Calibri" w:cs="Calibri"/>
          <w:color w:val="auto"/>
          <w:sz w:val="22"/>
          <w:szCs w:val="22"/>
        </w:rPr>
        <w:t xml:space="preserve"> Schroders Capital</w:t>
      </w:r>
      <w:r w:rsidRPr="00955CF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CB839FC" w14:textId="77777777" w:rsidR="00955CFA" w:rsidRPr="00955CFA" w:rsidRDefault="00955CFA" w:rsidP="00D36B40">
      <w:pPr>
        <w:pStyle w:val="BodytextRegular"/>
        <w:spacing w:after="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7E3515C9" w14:textId="62D37884" w:rsidR="00955CFA" w:rsidRDefault="00955CFA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955CFA">
        <w:rPr>
          <w:rFonts w:ascii="Calibri" w:hAnsi="Calibri" w:cs="Calibri"/>
          <w:sz w:val="22"/>
          <w:szCs w:val="22"/>
          <w:lang w:val="it-IT"/>
        </w:rPr>
        <w:t xml:space="preserve">Le correzioni </w:t>
      </w:r>
      <w:r w:rsidR="008C2971">
        <w:rPr>
          <w:rFonts w:ascii="Calibri" w:hAnsi="Calibri" w:cs="Calibri"/>
          <w:sz w:val="22"/>
          <w:szCs w:val="22"/>
          <w:lang w:val="it-IT"/>
        </w:rPr>
        <w:t xml:space="preserve">degli ultimi 18-24 mesi </w:t>
      </w:r>
      <w:r>
        <w:rPr>
          <w:rFonts w:ascii="Calibri" w:hAnsi="Calibri" w:cs="Calibri"/>
          <w:sz w:val="22"/>
          <w:szCs w:val="22"/>
          <w:lang w:val="it-IT"/>
        </w:rPr>
        <w:t xml:space="preserve">del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real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estate </w:t>
      </w:r>
      <w:r w:rsidRPr="00955CFA">
        <w:rPr>
          <w:rFonts w:ascii="Calibri" w:hAnsi="Calibri" w:cs="Calibri"/>
          <w:sz w:val="22"/>
          <w:szCs w:val="22"/>
          <w:lang w:val="it-IT"/>
        </w:rPr>
        <w:t>a livello globale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55CFA">
        <w:rPr>
          <w:rFonts w:ascii="Calibri" w:hAnsi="Calibri" w:cs="Calibri"/>
          <w:sz w:val="22"/>
          <w:szCs w:val="22"/>
          <w:lang w:val="it-IT"/>
        </w:rPr>
        <w:t>hanno creato una finestra di opportunità per accedere a mercati riprezzati</w:t>
      </w:r>
      <w:r>
        <w:rPr>
          <w:rFonts w:ascii="Calibri" w:hAnsi="Calibri" w:cs="Calibri"/>
          <w:sz w:val="22"/>
          <w:szCs w:val="22"/>
          <w:lang w:val="it-IT"/>
        </w:rPr>
        <w:t>.</w:t>
      </w:r>
    </w:p>
    <w:p w14:paraId="652CDA73" w14:textId="77777777" w:rsidR="00D36B40" w:rsidRPr="00955CFA" w:rsidRDefault="00D36B4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29D8BE8F" w14:textId="022020B8" w:rsidR="00955CFA" w:rsidRDefault="00CC4939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La disomogeneità</w:t>
      </w:r>
      <w:r w:rsidR="008E49A6">
        <w:rPr>
          <w:rFonts w:ascii="Calibri" w:hAnsi="Calibri" w:cs="Calibri"/>
          <w:sz w:val="22"/>
          <w:szCs w:val="22"/>
          <w:lang w:val="it-IT"/>
        </w:rPr>
        <w:t>, in termini di ritmo e profondità,</w:t>
      </w:r>
      <w:r w:rsidR="00955CFA" w:rsidRPr="00955CF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8E49A6">
        <w:rPr>
          <w:rFonts w:ascii="Calibri" w:hAnsi="Calibri" w:cs="Calibri"/>
          <w:sz w:val="22"/>
          <w:szCs w:val="22"/>
          <w:lang w:val="it-IT"/>
        </w:rPr>
        <w:t>dei movimenti</w:t>
      </w:r>
      <w:r w:rsidR="00955CFA" w:rsidRPr="00955CFA">
        <w:rPr>
          <w:rFonts w:ascii="Calibri" w:hAnsi="Calibri" w:cs="Calibri"/>
          <w:sz w:val="22"/>
          <w:szCs w:val="22"/>
          <w:lang w:val="it-IT"/>
        </w:rPr>
        <w:t xml:space="preserve"> a livello geografico, settoriale e di strutture d'investimento stanno dando vita a un'opportunità ciclica di acquisto. Individuare il punto di minimo è un compito difficile, ma sia la performance storica</w:t>
      </w:r>
      <w:r w:rsidR="00955CFA">
        <w:rPr>
          <w:rFonts w:ascii="Calibri" w:hAnsi="Calibri" w:cs="Calibri"/>
          <w:sz w:val="22"/>
          <w:szCs w:val="22"/>
          <w:lang w:val="it-IT"/>
        </w:rPr>
        <w:t xml:space="preserve">, sia </w:t>
      </w:r>
      <w:r w:rsidR="00955CFA" w:rsidRPr="00955CFA">
        <w:rPr>
          <w:rFonts w:ascii="Calibri" w:hAnsi="Calibri" w:cs="Calibri"/>
          <w:sz w:val="22"/>
          <w:szCs w:val="22"/>
          <w:lang w:val="it-IT"/>
        </w:rPr>
        <w:t xml:space="preserve">il nostro </w:t>
      </w:r>
      <w:r w:rsidR="008E49A6">
        <w:rPr>
          <w:rFonts w:ascii="Calibri" w:hAnsi="Calibri" w:cs="Calibri"/>
          <w:sz w:val="22"/>
          <w:szCs w:val="22"/>
          <w:lang w:val="it-IT"/>
        </w:rPr>
        <w:t xml:space="preserve">modello </w:t>
      </w:r>
      <w:r w:rsidR="00955CFA">
        <w:rPr>
          <w:rFonts w:ascii="Calibri" w:hAnsi="Calibri" w:cs="Calibri"/>
          <w:sz w:val="22"/>
          <w:szCs w:val="22"/>
          <w:lang w:val="it-IT"/>
        </w:rPr>
        <w:t>proprietario</w:t>
      </w:r>
      <w:r w:rsidR="00955CFA" w:rsidRPr="00955CFA">
        <w:rPr>
          <w:rFonts w:ascii="Calibri" w:hAnsi="Calibri" w:cs="Calibri"/>
          <w:sz w:val="22"/>
          <w:szCs w:val="22"/>
          <w:lang w:val="it-IT"/>
        </w:rPr>
        <w:t xml:space="preserve"> di valutazione del mercato indicano che </w:t>
      </w:r>
      <w:r w:rsidR="008E49A6">
        <w:rPr>
          <w:rFonts w:ascii="Calibri" w:hAnsi="Calibri" w:cs="Calibri"/>
          <w:sz w:val="22"/>
          <w:szCs w:val="22"/>
          <w:lang w:val="it-IT"/>
        </w:rPr>
        <w:t>gli anni</w:t>
      </w:r>
      <w:r w:rsidR="00955CFA" w:rsidRPr="00955CF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5CFA" w:rsidRPr="008C2971">
        <w:rPr>
          <w:rFonts w:ascii="Calibri" w:hAnsi="Calibri" w:cs="Calibri"/>
          <w:b/>
          <w:bCs/>
          <w:sz w:val="22"/>
          <w:szCs w:val="22"/>
          <w:lang w:val="it-IT"/>
        </w:rPr>
        <w:t xml:space="preserve">2024 e il 2025 </w:t>
      </w:r>
      <w:r w:rsidR="008C2971">
        <w:rPr>
          <w:rFonts w:ascii="Calibri" w:hAnsi="Calibri" w:cs="Calibri"/>
          <w:b/>
          <w:bCs/>
          <w:sz w:val="22"/>
          <w:szCs w:val="22"/>
          <w:lang w:val="it-IT"/>
        </w:rPr>
        <w:t>saranno</w:t>
      </w:r>
      <w:r w:rsidR="00955CFA" w:rsidRPr="008C2971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8E49A6">
        <w:rPr>
          <w:rFonts w:ascii="Calibri" w:hAnsi="Calibri" w:cs="Calibri"/>
          <w:b/>
          <w:bCs/>
          <w:sz w:val="22"/>
          <w:szCs w:val="22"/>
          <w:lang w:val="it-IT"/>
        </w:rPr>
        <w:t>vintage</w:t>
      </w:r>
      <w:r w:rsidR="008E49A6" w:rsidRPr="008C2971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955CFA" w:rsidRPr="008C2971">
        <w:rPr>
          <w:rFonts w:ascii="Calibri" w:hAnsi="Calibri" w:cs="Calibri"/>
          <w:b/>
          <w:bCs/>
          <w:sz w:val="22"/>
          <w:szCs w:val="22"/>
          <w:lang w:val="it-IT"/>
        </w:rPr>
        <w:t xml:space="preserve">interessanti per gli investimenti immobiliari, sia </w:t>
      </w:r>
      <w:r w:rsidR="008C2971">
        <w:rPr>
          <w:rFonts w:ascii="Calibri" w:hAnsi="Calibri" w:cs="Calibri"/>
          <w:b/>
          <w:bCs/>
          <w:sz w:val="22"/>
          <w:szCs w:val="22"/>
          <w:lang w:val="it-IT"/>
        </w:rPr>
        <w:t xml:space="preserve">sul fronte azionario </w:t>
      </w:r>
      <w:r w:rsidR="00F51080">
        <w:rPr>
          <w:rFonts w:ascii="Calibri" w:hAnsi="Calibri" w:cs="Calibri"/>
          <w:b/>
          <w:bCs/>
          <w:sz w:val="22"/>
          <w:szCs w:val="22"/>
          <w:lang w:val="it-IT"/>
        </w:rPr>
        <w:t xml:space="preserve">sia su quello </w:t>
      </w:r>
      <w:r w:rsidR="008C2971">
        <w:rPr>
          <w:rFonts w:ascii="Calibri" w:hAnsi="Calibri" w:cs="Calibri"/>
          <w:b/>
          <w:bCs/>
          <w:sz w:val="22"/>
          <w:szCs w:val="22"/>
          <w:lang w:val="it-IT"/>
        </w:rPr>
        <w:t>del</w:t>
      </w:r>
      <w:r w:rsidR="00955CFA" w:rsidRPr="008C2971">
        <w:rPr>
          <w:rFonts w:ascii="Calibri" w:hAnsi="Calibri" w:cs="Calibri"/>
          <w:b/>
          <w:bCs/>
          <w:sz w:val="22"/>
          <w:szCs w:val="22"/>
          <w:lang w:val="it-IT"/>
        </w:rPr>
        <w:t xml:space="preserve"> debito.</w:t>
      </w:r>
    </w:p>
    <w:p w14:paraId="2255E7AC" w14:textId="77777777" w:rsidR="00D36B40" w:rsidRPr="00955CFA" w:rsidRDefault="00D36B4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10EFBC75" w14:textId="4691B721" w:rsidR="00955CFA" w:rsidRDefault="00955CFA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955CFA">
        <w:rPr>
          <w:rFonts w:ascii="Calibri" w:hAnsi="Calibri" w:cs="Calibri"/>
          <w:sz w:val="22"/>
          <w:szCs w:val="22"/>
          <w:lang w:val="it-IT"/>
        </w:rPr>
        <w:t xml:space="preserve">Gli asset industriali e logistici sono ora ampiamente risaliti </w:t>
      </w:r>
      <w:r w:rsidR="008C2971">
        <w:rPr>
          <w:rFonts w:ascii="Calibri" w:hAnsi="Calibri" w:cs="Calibri"/>
          <w:sz w:val="22"/>
          <w:szCs w:val="22"/>
          <w:lang w:val="it-IT"/>
        </w:rPr>
        <w:t>su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 xml:space="preserve">livelli 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di prezzo interessanti in molti </w:t>
      </w:r>
      <w:proofErr w:type="spellStart"/>
      <w:r w:rsidRPr="00955CFA">
        <w:rPr>
          <w:rFonts w:ascii="Calibri" w:hAnsi="Calibri" w:cs="Calibri"/>
          <w:sz w:val="22"/>
          <w:szCs w:val="22"/>
          <w:lang w:val="it-IT"/>
        </w:rPr>
        <w:t>sottomercati</w:t>
      </w:r>
      <w:proofErr w:type="spellEnd"/>
      <w:r w:rsidRPr="00955CFA">
        <w:rPr>
          <w:rFonts w:ascii="Calibri" w:hAnsi="Calibri" w:cs="Calibri"/>
          <w:sz w:val="22"/>
          <w:szCs w:val="22"/>
          <w:lang w:val="it-IT"/>
        </w:rPr>
        <w:t xml:space="preserve">, sostenuti da solidi fondamentali strutturali. Nella </w:t>
      </w:r>
      <w:r w:rsidRPr="008C2971">
        <w:rPr>
          <w:rFonts w:ascii="Calibri" w:hAnsi="Calibri" w:cs="Calibri"/>
          <w:b/>
          <w:bCs/>
          <w:sz w:val="22"/>
          <w:szCs w:val="22"/>
          <w:lang w:val="it-IT"/>
        </w:rPr>
        <w:t>regione Asia-Pacifico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sz w:val="22"/>
          <w:szCs w:val="22"/>
          <w:lang w:val="it-IT"/>
        </w:rPr>
        <w:t>sono emerse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opportunità cicliche in mercati che seguono la ripresa ritardata della Cina e/o offrono alternative nella delocalizzazione delle catene di approvvigionamento. </w:t>
      </w:r>
      <w:r w:rsidR="00F51080" w:rsidRPr="00747207">
        <w:rPr>
          <w:rFonts w:ascii="Calibri" w:hAnsi="Calibri" w:cs="Calibri"/>
          <w:sz w:val="22"/>
          <w:szCs w:val="22"/>
          <w:lang w:val="it-IT"/>
        </w:rPr>
        <w:t xml:space="preserve">In </w:t>
      </w:r>
      <w:r w:rsidR="00F51080" w:rsidRPr="00747207">
        <w:rPr>
          <w:rFonts w:ascii="Calibri" w:hAnsi="Calibri" w:cs="Calibri"/>
          <w:b/>
          <w:bCs/>
          <w:sz w:val="22"/>
          <w:szCs w:val="22"/>
          <w:lang w:val="it-IT"/>
        </w:rPr>
        <w:t>Europa</w:t>
      </w:r>
      <w:r w:rsidR="00F51080" w:rsidRPr="00747207">
        <w:rPr>
          <w:rFonts w:ascii="Calibri" w:hAnsi="Calibri" w:cs="Calibri"/>
          <w:sz w:val="22"/>
          <w:szCs w:val="22"/>
          <w:lang w:val="it-IT"/>
        </w:rPr>
        <w:t>, l</w:t>
      </w:r>
      <w:r w:rsidRPr="00747207">
        <w:rPr>
          <w:rFonts w:ascii="Calibri" w:hAnsi="Calibri" w:cs="Calibri"/>
          <w:sz w:val="22"/>
          <w:szCs w:val="22"/>
          <w:lang w:val="it-IT"/>
        </w:rPr>
        <w:t>e prospettive di rendimento sono particolarmente interessanti.</w:t>
      </w:r>
    </w:p>
    <w:p w14:paraId="6A80679F" w14:textId="77777777" w:rsidR="00D36B40" w:rsidRPr="00747207" w:rsidRDefault="00D36B4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34F22E85" w14:textId="6BA0CF9E" w:rsidR="00955CFA" w:rsidRDefault="00955CFA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955CFA">
        <w:rPr>
          <w:rFonts w:ascii="Calibri" w:hAnsi="Calibri" w:cs="Calibri"/>
          <w:sz w:val="22"/>
          <w:szCs w:val="22"/>
          <w:lang w:val="it-IT"/>
        </w:rPr>
        <w:t xml:space="preserve">Continuiamo a </w:t>
      </w:r>
      <w:r>
        <w:rPr>
          <w:rFonts w:ascii="Calibri" w:hAnsi="Calibri" w:cs="Calibri"/>
          <w:sz w:val="22"/>
          <w:szCs w:val="22"/>
          <w:lang w:val="it-IT"/>
        </w:rPr>
        <w:t>favorire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le tipologie di immobili operativi che godono di una forte spinta dal</w:t>
      </w:r>
      <w:r w:rsidR="00F51080">
        <w:rPr>
          <w:rFonts w:ascii="Calibri" w:hAnsi="Calibri" w:cs="Calibri"/>
          <w:sz w:val="22"/>
          <w:szCs w:val="22"/>
          <w:lang w:val="it-IT"/>
        </w:rPr>
        <w:t xml:space="preserve"> lato della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domanda e che possono </w:t>
      </w:r>
      <w:r w:rsidR="008C2971">
        <w:rPr>
          <w:rFonts w:ascii="Calibri" w:hAnsi="Calibri" w:cs="Calibri"/>
          <w:sz w:val="22"/>
          <w:szCs w:val="22"/>
          <w:lang w:val="it-IT"/>
        </w:rPr>
        <w:t>generare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un </w:t>
      </w:r>
      <w:r>
        <w:rPr>
          <w:rFonts w:ascii="Calibri" w:hAnsi="Calibri" w:cs="Calibri"/>
          <w:sz w:val="22"/>
          <w:szCs w:val="22"/>
          <w:lang w:val="it-IT"/>
        </w:rPr>
        <w:t>rendimento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legato all'inflazione, direttamente o indirettamente. È sempre più evidente che la composizione dei portafogli immobiliari si sta evolvendo</w:t>
      </w:r>
      <w:r w:rsidR="00CC788C">
        <w:rPr>
          <w:rFonts w:ascii="Calibri" w:hAnsi="Calibri" w:cs="Calibri"/>
          <w:sz w:val="22"/>
          <w:szCs w:val="22"/>
          <w:lang w:val="it-IT"/>
        </w:rPr>
        <w:t>: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la capacità di </w:t>
      </w:r>
      <w:r w:rsidR="00CC788C">
        <w:rPr>
          <w:rFonts w:ascii="Calibri" w:hAnsi="Calibri" w:cs="Calibri"/>
          <w:sz w:val="22"/>
          <w:szCs w:val="22"/>
          <w:lang w:val="it-IT"/>
        </w:rPr>
        <w:t>attivarsi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in una serie di </w:t>
      </w:r>
      <w:r>
        <w:rPr>
          <w:rFonts w:ascii="Calibri" w:hAnsi="Calibri" w:cs="Calibri"/>
          <w:sz w:val="22"/>
          <w:szCs w:val="22"/>
          <w:lang w:val="it-IT"/>
        </w:rPr>
        <w:t>settori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adiacenti ai tradizionali </w:t>
      </w:r>
      <w:r>
        <w:rPr>
          <w:rFonts w:ascii="Calibri" w:hAnsi="Calibri" w:cs="Calibri"/>
          <w:sz w:val="22"/>
          <w:szCs w:val="22"/>
          <w:lang w:val="it-IT"/>
        </w:rPr>
        <w:t xml:space="preserve">segmenti 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degli uffici, del retail, dell'industriale e del multifamiliare offre </w:t>
      </w:r>
      <w:r w:rsidR="00CC788C">
        <w:rPr>
          <w:rFonts w:ascii="Calibri" w:hAnsi="Calibri" w:cs="Calibri"/>
          <w:sz w:val="22"/>
          <w:szCs w:val="22"/>
          <w:lang w:val="it-IT"/>
        </w:rPr>
        <w:t>agli</w:t>
      </w:r>
      <w:r w:rsidR="00CC788C" w:rsidRPr="00955CF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C788C">
        <w:rPr>
          <w:rFonts w:ascii="Calibri" w:hAnsi="Calibri" w:cs="Calibri"/>
          <w:sz w:val="22"/>
          <w:szCs w:val="22"/>
          <w:lang w:val="it-IT"/>
        </w:rPr>
        <w:t>“</w:t>
      </w:r>
      <w:r w:rsidR="00CC788C" w:rsidRPr="00955CFA">
        <w:rPr>
          <w:rFonts w:ascii="Calibri" w:hAnsi="Calibri" w:cs="Calibri"/>
          <w:sz w:val="22"/>
          <w:szCs w:val="22"/>
          <w:lang w:val="it-IT"/>
        </w:rPr>
        <w:t xml:space="preserve">early </w:t>
      </w:r>
      <w:proofErr w:type="spellStart"/>
      <w:r w:rsidR="00CC788C" w:rsidRPr="00955CFA">
        <w:rPr>
          <w:rFonts w:ascii="Calibri" w:hAnsi="Calibri" w:cs="Calibri"/>
          <w:sz w:val="22"/>
          <w:szCs w:val="22"/>
          <w:lang w:val="it-IT"/>
        </w:rPr>
        <w:t>mover</w:t>
      </w:r>
      <w:proofErr w:type="spellEnd"/>
      <w:r w:rsidR="00CC788C">
        <w:rPr>
          <w:rFonts w:ascii="Calibri" w:hAnsi="Calibri" w:cs="Calibri"/>
          <w:sz w:val="22"/>
          <w:szCs w:val="22"/>
          <w:lang w:val="it-IT"/>
        </w:rPr>
        <w:t>” diverse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C788C">
        <w:rPr>
          <w:rFonts w:ascii="Calibri" w:hAnsi="Calibri" w:cs="Calibri"/>
          <w:sz w:val="22"/>
          <w:szCs w:val="22"/>
          <w:lang w:val="it-IT"/>
        </w:rPr>
        <w:t>occasioni allettanti</w:t>
      </w:r>
      <w:r w:rsidRPr="00955CFA">
        <w:rPr>
          <w:rFonts w:ascii="Calibri" w:hAnsi="Calibri" w:cs="Calibri"/>
          <w:sz w:val="22"/>
          <w:szCs w:val="22"/>
          <w:lang w:val="it-IT"/>
        </w:rPr>
        <w:t>.</w:t>
      </w:r>
    </w:p>
    <w:p w14:paraId="2E3CCF65" w14:textId="77777777" w:rsidR="00D36B40" w:rsidRPr="00955CFA" w:rsidRDefault="00D36B4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5037DC94" w14:textId="1349C8C7" w:rsidR="00955CFA" w:rsidRPr="00955CFA" w:rsidRDefault="00955CFA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955CFA">
        <w:rPr>
          <w:rFonts w:ascii="Calibri" w:hAnsi="Calibri" w:cs="Calibri"/>
          <w:sz w:val="22"/>
          <w:szCs w:val="22"/>
          <w:lang w:val="it-IT"/>
        </w:rPr>
        <w:t xml:space="preserve">Molte delle principali economie hanno fatto passi da gigante nella riduzione dell'inflazione, con un impatto sulla crescita significativamente inferiore a quello previsto dai mercati. I mercati occupazionali, inoltre, rimangono </w:t>
      </w:r>
      <w:r w:rsidR="008D1970">
        <w:rPr>
          <w:rFonts w:ascii="Calibri" w:hAnsi="Calibri" w:cs="Calibri"/>
          <w:sz w:val="22"/>
          <w:szCs w:val="22"/>
          <w:lang w:val="it-IT"/>
        </w:rPr>
        <w:t>solidi</w:t>
      </w:r>
      <w:r w:rsidRPr="00955CFA">
        <w:rPr>
          <w:rFonts w:ascii="Calibri" w:hAnsi="Calibri" w:cs="Calibri"/>
          <w:sz w:val="22"/>
          <w:szCs w:val="22"/>
          <w:lang w:val="it-IT"/>
        </w:rPr>
        <w:t xml:space="preserve">, con una crescita nominale prevista per la maggior parte dei segmenti immobiliari, in particolare quelli sostenuti da spinte strutturali. Sebbene la domanda si sia attenuata, le condizioni di offerta limitate - dovute all'aumento dei costi di costruzione e di finanziamento del debito - continuano a </w:t>
      </w:r>
      <w:r w:rsidR="00CC788C">
        <w:rPr>
          <w:rFonts w:ascii="Calibri" w:hAnsi="Calibri" w:cs="Calibri"/>
          <w:sz w:val="22"/>
          <w:szCs w:val="22"/>
          <w:lang w:val="it-IT"/>
        </w:rPr>
        <w:t>supportare</w:t>
      </w:r>
      <w:r w:rsidR="00CC788C" w:rsidRPr="00955CF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55CFA">
        <w:rPr>
          <w:rFonts w:ascii="Calibri" w:hAnsi="Calibri" w:cs="Calibri"/>
          <w:sz w:val="22"/>
          <w:szCs w:val="22"/>
          <w:lang w:val="it-IT"/>
        </w:rPr>
        <w:t>livelli di reddito da locazione sostenibili e la scarsità di spazi di alta qualità conformi ai principi ESG alimenterà una nuova crescita degli affitti, soprattutto quando le economie avranno invertito la rotta.</w:t>
      </w:r>
    </w:p>
    <w:p w14:paraId="5FAA5306" w14:textId="77777777" w:rsidR="00D36B40" w:rsidRDefault="00D36B4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28DA9359" w14:textId="3AFEE52A" w:rsidR="008D1970" w:rsidRDefault="008D197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8D1970">
        <w:rPr>
          <w:rFonts w:ascii="Calibri" w:hAnsi="Calibri" w:cs="Calibri"/>
          <w:sz w:val="22"/>
          <w:szCs w:val="22"/>
          <w:lang w:val="it-IT"/>
        </w:rPr>
        <w:t xml:space="preserve">Anche le opportunità derivanti dall'illiquidità e dallo stress del mercato dei capitali di debito stanno diventando sempre più visibili. </w:t>
      </w:r>
      <w:r w:rsidRPr="008C2971">
        <w:rPr>
          <w:rFonts w:ascii="Calibri" w:hAnsi="Calibri" w:cs="Calibri"/>
          <w:b/>
          <w:bCs/>
          <w:sz w:val="22"/>
          <w:szCs w:val="22"/>
          <w:lang w:val="it-IT"/>
        </w:rPr>
        <w:t>I livelli di prezzo del debito immobiliare privato offrono attualmente rendimenti simili a quelli azionari, per i finanziamenti di nuova emissione</w:t>
      </w:r>
      <w:r w:rsidRPr="008D1970">
        <w:rPr>
          <w:rFonts w:ascii="Calibri" w:hAnsi="Calibri" w:cs="Calibri"/>
          <w:sz w:val="22"/>
          <w:szCs w:val="22"/>
          <w:lang w:val="it-IT"/>
        </w:rPr>
        <w:t>, e dovrebbero essere mirati in modo proattivo dato il limitato rischio di ribasso. A ciò si aggiungono le opportunità che richiedono soluzioni di capitale per adeguare e/o rafforzare i bilanci delle entità o delle strutture di transazione esistenti, in modo che possano resistere a un contesto di tassi di interesse e/o livelli di rifinanziamento</w:t>
      </w:r>
      <w:r>
        <w:rPr>
          <w:rFonts w:ascii="Calibri" w:hAnsi="Calibri" w:cs="Calibri"/>
          <w:sz w:val="22"/>
          <w:szCs w:val="22"/>
          <w:lang w:val="it-IT"/>
        </w:rPr>
        <w:t xml:space="preserve"> più elevati.</w:t>
      </w:r>
    </w:p>
    <w:p w14:paraId="3A827CEA" w14:textId="77777777" w:rsidR="00D36B40" w:rsidRPr="008D1970" w:rsidRDefault="00D36B40" w:rsidP="00D36B40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6CC3D7BF" w14:textId="2E7F2FE1" w:rsidR="00461F81" w:rsidRPr="008D1970" w:rsidRDefault="008D1970" w:rsidP="00D36B40">
      <w:pPr>
        <w:spacing w:after="0" w:line="240" w:lineRule="auto"/>
        <w:contextualSpacing/>
        <w:rPr>
          <w:rFonts w:ascii="Calibri" w:hAnsi="Calibri" w:cs="Calibri"/>
        </w:rPr>
      </w:pPr>
      <w:r w:rsidRPr="008D1970">
        <w:rPr>
          <w:rFonts w:ascii="Calibri" w:hAnsi="Calibri" w:cs="Calibri"/>
        </w:rPr>
        <w:t xml:space="preserve">Vediamo un significativo valore relativo aggiustato per il rischio nei </w:t>
      </w:r>
      <w:r>
        <w:rPr>
          <w:rFonts w:ascii="Calibri" w:hAnsi="Calibri" w:cs="Calibri"/>
        </w:rPr>
        <w:t xml:space="preserve">senior </w:t>
      </w:r>
      <w:proofErr w:type="spellStart"/>
      <w:r>
        <w:rPr>
          <w:rFonts w:ascii="Calibri" w:hAnsi="Calibri" w:cs="Calibri"/>
        </w:rPr>
        <w:t>whole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loan</w:t>
      </w:r>
      <w:proofErr w:type="spellEnd"/>
      <w:r w:rsidRPr="008D1970">
        <w:rPr>
          <w:rFonts w:ascii="Calibri" w:hAnsi="Calibri" w:cs="Calibri"/>
        </w:rPr>
        <w:t xml:space="preserve"> e nei prestiti per lo sviluppo</w:t>
      </w:r>
      <w:r>
        <w:rPr>
          <w:rFonts w:ascii="Calibri" w:hAnsi="Calibri" w:cs="Calibri"/>
        </w:rPr>
        <w:t xml:space="preserve"> di nuova emissione</w:t>
      </w:r>
      <w:r w:rsidRPr="008D1970">
        <w:rPr>
          <w:rFonts w:ascii="Calibri" w:hAnsi="Calibri" w:cs="Calibri"/>
        </w:rPr>
        <w:t xml:space="preserve">, strutturati in modo da incentivare obiettivi ambiziosi e predeterminati di performance di sostenibilità. </w:t>
      </w:r>
      <w:r>
        <w:rPr>
          <w:rFonts w:ascii="Calibri" w:hAnsi="Calibri" w:cs="Calibri"/>
        </w:rPr>
        <w:t xml:space="preserve">Per gli investitori nei mercati privati, </w:t>
      </w:r>
      <w:r w:rsidR="00F915D3">
        <w:rPr>
          <w:rFonts w:ascii="Calibri" w:hAnsi="Calibri" w:cs="Calibri"/>
        </w:rPr>
        <w:t>ciò consente di</w:t>
      </w:r>
      <w:r w:rsidRPr="008D1970">
        <w:rPr>
          <w:rFonts w:ascii="Calibri" w:hAnsi="Calibri" w:cs="Calibri"/>
        </w:rPr>
        <w:t xml:space="preserve"> promuovere risultati sociali e ambientali positivi in un </w:t>
      </w:r>
      <w:r>
        <w:rPr>
          <w:rFonts w:ascii="Calibri" w:hAnsi="Calibri" w:cs="Calibri"/>
        </w:rPr>
        <w:t>universo</w:t>
      </w:r>
      <w:r w:rsidRPr="008D1970">
        <w:rPr>
          <w:rFonts w:ascii="Calibri" w:hAnsi="Calibri" w:cs="Calibri"/>
        </w:rPr>
        <w:t xml:space="preserve"> sempre più limitato</w:t>
      </w:r>
      <w:r w:rsidR="002354F4">
        <w:rPr>
          <w:rFonts w:ascii="Calibri" w:hAnsi="Calibri" w:cs="Calibri"/>
        </w:rPr>
        <w:t xml:space="preserve">, dati </w:t>
      </w:r>
      <w:r w:rsidRPr="008D1970">
        <w:rPr>
          <w:rFonts w:ascii="Calibri" w:hAnsi="Calibri" w:cs="Calibri"/>
        </w:rPr>
        <w:t xml:space="preserve">l'intensificarsi dei requisiti normativi e </w:t>
      </w:r>
      <w:r w:rsidR="002354F4">
        <w:rPr>
          <w:rFonts w:ascii="Calibri" w:hAnsi="Calibri" w:cs="Calibri"/>
        </w:rPr>
        <w:t>l’evoluzione</w:t>
      </w:r>
      <w:r w:rsidRPr="008D1970">
        <w:rPr>
          <w:rFonts w:ascii="Calibri" w:hAnsi="Calibri" w:cs="Calibri"/>
        </w:rPr>
        <w:t xml:space="preserve"> della domanda </w:t>
      </w:r>
      <w:r w:rsidR="002354F4">
        <w:rPr>
          <w:rFonts w:ascii="Calibri" w:hAnsi="Calibri" w:cs="Calibri"/>
        </w:rPr>
        <w:t>da parte dei locatari</w:t>
      </w:r>
      <w:r w:rsidRPr="008D1970">
        <w:rPr>
          <w:rFonts w:ascii="Calibri" w:hAnsi="Calibri" w:cs="Calibri"/>
        </w:rPr>
        <w:t xml:space="preserve">. Si prevede che </w:t>
      </w:r>
      <w:r w:rsidR="0091079E">
        <w:rPr>
          <w:rFonts w:ascii="Calibri" w:hAnsi="Calibri" w:cs="Calibri"/>
        </w:rPr>
        <w:t>i</w:t>
      </w:r>
      <w:r w:rsidRPr="008D1970">
        <w:rPr>
          <w:rFonts w:ascii="Calibri" w:hAnsi="Calibri" w:cs="Calibri"/>
        </w:rPr>
        <w:t xml:space="preserve"> rifinanziament</w:t>
      </w:r>
      <w:r w:rsidR="0091079E">
        <w:rPr>
          <w:rFonts w:ascii="Calibri" w:hAnsi="Calibri" w:cs="Calibri"/>
        </w:rPr>
        <w:t>i</w:t>
      </w:r>
      <w:r w:rsidRPr="008D1970">
        <w:rPr>
          <w:rFonts w:ascii="Calibri" w:hAnsi="Calibri" w:cs="Calibri"/>
        </w:rPr>
        <w:t xml:space="preserve"> in corso accelereranno la disponibilità di queste opportunità</w:t>
      </w:r>
      <w:r w:rsidR="002354F4" w:rsidRPr="002354F4">
        <w:rPr>
          <w:rFonts w:ascii="Calibri" w:hAnsi="Calibri" w:cs="Calibri"/>
        </w:rPr>
        <w:t xml:space="preserve"> </w:t>
      </w:r>
      <w:r w:rsidR="002354F4">
        <w:rPr>
          <w:rFonts w:ascii="Calibri" w:hAnsi="Calibri" w:cs="Calibri"/>
        </w:rPr>
        <w:t xml:space="preserve">nel 2024 in un contesto di price </w:t>
      </w:r>
      <w:proofErr w:type="spellStart"/>
      <w:r w:rsidR="002354F4">
        <w:rPr>
          <w:rFonts w:ascii="Calibri" w:hAnsi="Calibri" w:cs="Calibri"/>
        </w:rPr>
        <w:t>discovery</w:t>
      </w:r>
      <w:proofErr w:type="spellEnd"/>
      <w:r w:rsidR="0091079E">
        <w:rPr>
          <w:rFonts w:ascii="Calibri" w:hAnsi="Calibri" w:cs="Calibri"/>
        </w:rPr>
        <w:t>.</w:t>
      </w:r>
    </w:p>
    <w:sectPr w:rsidR="00461F81" w:rsidRPr="008D1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chroders Circular TT Normal">
    <w:charset w:val="00"/>
    <w:family w:val="swiss"/>
    <w:pitch w:val="variable"/>
    <w:sig w:usb0="A00000B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8"/>
    <w:rsid w:val="002354F4"/>
    <w:rsid w:val="003806E8"/>
    <w:rsid w:val="00461F81"/>
    <w:rsid w:val="00747207"/>
    <w:rsid w:val="0080401C"/>
    <w:rsid w:val="008C2971"/>
    <w:rsid w:val="008D1970"/>
    <w:rsid w:val="008E49A6"/>
    <w:rsid w:val="0091079E"/>
    <w:rsid w:val="00955CFA"/>
    <w:rsid w:val="00A40B48"/>
    <w:rsid w:val="00CC4939"/>
    <w:rsid w:val="00CC788C"/>
    <w:rsid w:val="00D36B40"/>
    <w:rsid w:val="00F51080"/>
    <w:rsid w:val="00F915D3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B249"/>
  <w15:chartTrackingRefBased/>
  <w15:docId w15:val="{7763C08B-89AD-473D-B5E4-0DF72F8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06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0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06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6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6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6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6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6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6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06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06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6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6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6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6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6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6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06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0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06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0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06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06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806E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806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06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06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806E8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17"/>
    <w:semiHidden/>
    <w:unhideWhenUsed/>
    <w:rsid w:val="00955CFA"/>
    <w:rPr>
      <w:rFonts w:asciiTheme="minorHAnsi" w:hAnsiTheme="minorHAnsi" w:cs="Schroders Circular TT Normal" w:hint="default"/>
      <w:color w:val="0E2841" w:themeColor="text2"/>
      <w:sz w:val="20"/>
      <w:u w:val="single"/>
    </w:rPr>
  </w:style>
  <w:style w:type="paragraph" w:customStyle="1" w:styleId="Documenttitle">
    <w:name w:val="Document title"/>
    <w:basedOn w:val="Normale"/>
    <w:uiPriority w:val="4"/>
    <w:qFormat/>
    <w:rsid w:val="00955CFA"/>
    <w:pPr>
      <w:keepNext/>
      <w:keepLines/>
      <w:spacing w:before="240" w:after="0" w:line="240" w:lineRule="auto"/>
      <w:jc w:val="center"/>
      <w:outlineLvl w:val="0"/>
    </w:pPr>
    <w:rPr>
      <w:rFonts w:ascii="Schroders Circular TT Normal" w:hAnsi="Schroders Circular TT Normal" w:cs="Schroders Circular TT Normal"/>
      <w:iCs/>
      <w:color w:val="0E2841" w:themeColor="text2"/>
      <w:kern w:val="0"/>
      <w:sz w:val="60"/>
      <w:szCs w:val="60"/>
      <w:lang w:val="en-GB"/>
      <w14:ligatures w14:val="none"/>
    </w:rPr>
  </w:style>
  <w:style w:type="paragraph" w:customStyle="1" w:styleId="Coverdate">
    <w:name w:val="Cover date"/>
    <w:basedOn w:val="Normale"/>
    <w:next w:val="Corpotesto"/>
    <w:uiPriority w:val="5"/>
    <w:qFormat/>
    <w:rsid w:val="00955CFA"/>
    <w:pPr>
      <w:spacing w:before="240" w:after="40" w:line="240" w:lineRule="auto"/>
    </w:pPr>
    <w:rPr>
      <w:rFonts w:asciiTheme="majorHAnsi" w:hAnsiTheme="majorHAnsi"/>
      <w:noProof/>
      <w:color w:val="0E2841" w:themeColor="text2"/>
      <w:kern w:val="0"/>
      <w:sz w:val="28"/>
      <w:szCs w:val="28"/>
      <w:lang w:val="en-GB"/>
      <w14:ligatures w14:val="none"/>
    </w:rPr>
  </w:style>
  <w:style w:type="paragraph" w:customStyle="1" w:styleId="BodytextRegular">
    <w:name w:val="Body text (Regular)"/>
    <w:basedOn w:val="Normale"/>
    <w:qFormat/>
    <w:rsid w:val="00955CFA"/>
    <w:pPr>
      <w:spacing w:after="200" w:line="240" w:lineRule="auto"/>
    </w:pPr>
    <w:rPr>
      <w:kern w:val="0"/>
      <w:sz w:val="20"/>
      <w:szCs w:val="20"/>
      <w:lang w:val="en-GB"/>
      <w14:ligatures w14:val="none"/>
    </w:rPr>
  </w:style>
  <w:style w:type="paragraph" w:customStyle="1" w:styleId="typographyparagraph-sc-numijp-1">
    <w:name w:val="typography__paragraph-sc-numijp-1"/>
    <w:basedOn w:val="Normale"/>
    <w:rsid w:val="009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zh-CN"/>
      <w14:ligatures w14:val="none"/>
    </w:rPr>
  </w:style>
  <w:style w:type="character" w:styleId="Enfasigrassetto">
    <w:name w:val="Strong"/>
    <w:basedOn w:val="Carpredefinitoparagrafo"/>
    <w:uiPriority w:val="22"/>
    <w:qFormat/>
    <w:rsid w:val="00955CFA"/>
    <w:rPr>
      <w:b/>
      <w:bCs/>
    </w:rPr>
  </w:style>
  <w:style w:type="character" w:styleId="Enfasicorsivo">
    <w:name w:val="Emphasis"/>
    <w:basedOn w:val="Carpredefinitoparagrafo"/>
    <w:uiPriority w:val="20"/>
    <w:qFormat/>
    <w:rsid w:val="00955CFA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5C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5CFA"/>
  </w:style>
  <w:style w:type="character" w:styleId="Testosegnaposto">
    <w:name w:val="Placeholder Text"/>
    <w:basedOn w:val="Carpredefinitoparagrafo"/>
    <w:uiPriority w:val="99"/>
    <w:semiHidden/>
    <w:rsid w:val="00955CFA"/>
  </w:style>
  <w:style w:type="paragraph" w:styleId="Revisione">
    <w:name w:val="Revision"/>
    <w:hidden/>
    <w:uiPriority w:val="99"/>
    <w:semiHidden/>
    <w:rsid w:val="00F5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Diana Ferla</cp:lastModifiedBy>
  <cp:revision>5</cp:revision>
  <dcterms:created xsi:type="dcterms:W3CDTF">2024-03-21T10:20:00Z</dcterms:created>
  <dcterms:modified xsi:type="dcterms:W3CDTF">2024-03-25T10:06:00Z</dcterms:modified>
</cp:coreProperties>
</file>