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Times New Roman" w:cs="Times New Roman" w:hAnsi="Times New Roman" w:eastAsia="Times New Roman"/>
          <w:b w:val="0"/>
          <w:bCs w:val="0"/>
          <w:sz w:val="22"/>
          <w:szCs w:val="22"/>
        </w:rPr>
      </w:pP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line">
              <wp:posOffset>113029</wp:posOffset>
            </wp:positionV>
            <wp:extent cx="2628900" cy="658495"/>
            <wp:effectExtent l="0" t="0" r="0" b="0"/>
            <wp:wrapNone/>
            <wp:docPr id="1073741825" name="officeArt object" descr="ACI---orizzonta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CI---orizzontale" descr="ACI---orizzontal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6584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rFonts w:ascii="Times New Roman" w:cs="Times New Roman" w:hAnsi="Times New Roman" w:eastAsia="Times New Roman"/>
          <w:b w:val="0"/>
          <w:bCs w:val="0"/>
          <w:sz w:val="22"/>
          <w:szCs w:val="22"/>
        </w:rPr>
      </w:pPr>
    </w:p>
    <w:p>
      <w:pPr>
        <w:pStyle w:val="Normal.0"/>
        <w:rPr>
          <w:rFonts w:ascii="Times New Roman" w:cs="Times New Roman" w:hAnsi="Times New Roman" w:eastAsia="Times New Roman"/>
          <w:b w:val="0"/>
          <w:bCs w:val="0"/>
          <w:sz w:val="22"/>
          <w:szCs w:val="22"/>
        </w:rPr>
      </w:pPr>
    </w:p>
    <w:p>
      <w:pPr>
        <w:pStyle w:val="Normal.0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Normal.0"/>
        <w:rPr>
          <w:i w:val="1"/>
          <w:iCs w:val="1"/>
        </w:rPr>
      </w:pPr>
    </w:p>
    <w:p>
      <w:pPr>
        <w:pStyle w:val="Normal.0"/>
        <w:jc w:val="right"/>
        <w:rPr>
          <w:i w:val="1"/>
          <w:iCs w:val="1"/>
        </w:rPr>
      </w:pPr>
    </w:p>
    <w:p>
      <w:pPr>
        <w:pStyle w:val="Normal.0"/>
        <w:jc w:val="right"/>
      </w:pPr>
    </w:p>
    <w:p>
      <w:pPr>
        <w:pStyle w:val="Normal.0"/>
        <w:jc w:val="right"/>
        <w:rPr>
          <w:b w:val="0"/>
          <w:bCs w:val="0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Roma, </w:t>
      </w:r>
      <w:r>
        <w:rPr>
          <w:b w:val="0"/>
          <w:bCs w:val="0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5</w:t>
      </w:r>
      <w:r>
        <w:rPr>
          <w:b w:val="0"/>
          <w:bCs w:val="0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marzo</w:t>
      </w:r>
      <w:r>
        <w:rPr>
          <w:b w:val="0"/>
          <w:bCs w:val="0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202</w:t>
      </w:r>
      <w:r>
        <w:rPr>
          <w:b w:val="0"/>
          <w:bCs w:val="0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4</w:t>
      </w:r>
    </w:p>
    <w:p>
      <w:pPr>
        <w:pStyle w:val="Normal.0"/>
        <w:rPr>
          <w:outline w:val="0"/>
          <w:color w:val="003366"/>
          <w:sz w:val="16"/>
          <w:szCs w:val="16"/>
          <w:u w:val="single" w:color="003366"/>
          <w14:textFill>
            <w14:solidFill>
              <w14:srgbClr w14:val="003366"/>
            </w14:solidFill>
          </w14:textFill>
        </w:rPr>
      </w:pPr>
    </w:p>
    <w:p>
      <w:pPr>
        <w:pStyle w:val="Normal.0"/>
        <w:rPr>
          <w:outline w:val="0"/>
          <w:color w:val="003366"/>
          <w:sz w:val="16"/>
          <w:szCs w:val="16"/>
          <w:u w:val="single" w:color="003366"/>
          <w14:textFill>
            <w14:solidFill>
              <w14:srgbClr w14:val="003366"/>
            </w14:solidFill>
          </w14:textFill>
        </w:rPr>
      </w:pPr>
    </w:p>
    <w:p>
      <w:pPr>
        <w:pStyle w:val="Normal.0"/>
        <w:rPr>
          <w:outline w:val="0"/>
          <w:color w:val="003366"/>
          <w:sz w:val="16"/>
          <w:szCs w:val="16"/>
          <w:u w:val="single" w:color="003366"/>
          <w14:textFill>
            <w14:solidFill>
              <w14:srgbClr w14:val="003366"/>
            </w14:solidFill>
          </w14:textFill>
        </w:rPr>
      </w:pPr>
    </w:p>
    <w:p>
      <w:pPr>
        <w:pStyle w:val="Normal.0"/>
        <w:spacing w:line="276" w:lineRule="auto"/>
        <w:rPr>
          <w:b w:val="0"/>
          <w:bCs w:val="0"/>
          <w:outline w:val="0"/>
          <w:color w:val="003366"/>
          <w:sz w:val="20"/>
          <w:szCs w:val="20"/>
          <w:u w:val="single" w:color="003366"/>
          <w14:textFill>
            <w14:solidFill>
              <w14:srgbClr w14:val="003366"/>
            </w14:solidFill>
          </w14:textFill>
        </w:rPr>
      </w:pPr>
      <w:r>
        <w:rPr>
          <w:b w:val="0"/>
          <w:bCs w:val="0"/>
          <w:outline w:val="0"/>
          <w:color w:val="003366"/>
          <w:sz w:val="20"/>
          <w:szCs w:val="20"/>
          <w:u w:val="single" w:color="003366"/>
          <w:rtl w:val="0"/>
          <w:lang w:val="it-IT"/>
          <w14:textFill>
            <w14:solidFill>
              <w14:srgbClr w14:val="003366"/>
            </w14:solidFill>
          </w14:textFill>
        </w:rPr>
        <w:t>MERCATO AUTOVEICOLI</w:t>
      </w:r>
    </w:p>
    <w:p>
      <w:pPr>
        <w:pStyle w:val="Normal.0"/>
        <w:spacing w:line="276" w:lineRule="auto"/>
        <w:rPr>
          <w:outline w:val="0"/>
          <w:color w:val="003366"/>
          <w:sz w:val="16"/>
          <w:szCs w:val="16"/>
          <w:u w:val="single" w:color="003366"/>
          <w14:textFill>
            <w14:solidFill>
              <w14:srgbClr w14:val="003366"/>
            </w14:solidFill>
          </w14:textFill>
        </w:rPr>
      </w:pPr>
    </w:p>
    <w:p>
      <w:pPr>
        <w:pStyle w:val="Normal.0"/>
        <w:rPr>
          <w:outline w:val="0"/>
          <w:color w:val="800000"/>
          <w:sz w:val="24"/>
          <w:szCs w:val="24"/>
          <w:u w:color="800000"/>
          <w14:textFill>
            <w14:solidFill>
              <w14:srgbClr w14:val="800000"/>
            </w14:solidFill>
          </w14:textFill>
        </w:rPr>
      </w:pPr>
      <w:r>
        <w:rPr>
          <w:rFonts w:cs="Arial Unicode MS" w:eastAsia="Arial Unicode MS"/>
          <w:outline w:val="0"/>
          <w:color w:val="800000"/>
          <w:sz w:val="24"/>
          <w:szCs w:val="24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 xml:space="preserve">ACI:  </w:t>
      </w:r>
      <w:r>
        <w:rPr>
          <w:rFonts w:cs="Arial Unicode MS" w:eastAsia="Arial Unicode MS"/>
          <w:outline w:val="0"/>
          <w:color w:val="800000"/>
          <w:sz w:val="24"/>
          <w:szCs w:val="24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CRESCITA A DUE CIFRE PER L</w:t>
      </w:r>
      <w:r>
        <w:rPr>
          <w:rFonts w:cs="Arial Unicode MS" w:eastAsia="Arial Unicode MS" w:hint="default"/>
          <w:outline w:val="0"/>
          <w:color w:val="800000"/>
          <w:sz w:val="24"/>
          <w:szCs w:val="24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’</w:t>
      </w:r>
      <w:r>
        <w:rPr>
          <w:rFonts w:cs="Arial Unicode MS" w:eastAsia="Arial Unicode MS"/>
          <w:outline w:val="0"/>
          <w:color w:val="800000"/>
          <w:sz w:val="24"/>
          <w:szCs w:val="24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USATO A FEBBRAIO</w:t>
      </w:r>
      <w:r>
        <w:rPr>
          <w:rFonts w:cs="Arial Unicode MS" w:eastAsia="Arial Unicode MS"/>
          <w:outline w:val="0"/>
          <w:color w:val="800000"/>
          <w:sz w:val="24"/>
          <w:szCs w:val="24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 xml:space="preserve"> </w:t>
      </w:r>
    </w:p>
    <w:p>
      <w:pPr>
        <w:pStyle w:val="Normal.0"/>
        <w:rPr>
          <w:outline w:val="0"/>
          <w:color w:val="800000"/>
          <w:sz w:val="24"/>
          <w:szCs w:val="24"/>
          <w:u w:color="800000"/>
          <w14:textFill>
            <w14:solidFill>
              <w14:srgbClr w14:val="800000"/>
            </w14:solidFill>
          </w14:textFill>
        </w:rPr>
      </w:pPr>
      <w:r>
        <w:rPr>
          <w:rFonts w:cs="Arial Unicode MS" w:eastAsia="Arial Unicode MS"/>
          <w:outline w:val="0"/>
          <w:color w:val="800000"/>
          <w:sz w:val="24"/>
          <w:szCs w:val="24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 xml:space="preserve"> +55,9% IL BILANCIO MENSILE DEL</w:t>
      </w:r>
      <w:r>
        <w:rPr>
          <w:rFonts w:cs="Arial Unicode MS" w:eastAsia="Arial Unicode MS"/>
          <w:outline w:val="0"/>
          <w:color w:val="800000"/>
          <w:sz w:val="24"/>
          <w:szCs w:val="24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LE RADIAZIONI</w:t>
      </w:r>
      <w:r>
        <w:rPr>
          <w:rFonts w:cs="Arial Unicode MS" w:eastAsia="Arial Unicode MS"/>
          <w:outline w:val="0"/>
          <w:color w:val="800000"/>
          <w:sz w:val="24"/>
          <w:szCs w:val="24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 xml:space="preserve"> AUTO</w:t>
      </w:r>
    </w:p>
    <w:p>
      <w:pPr>
        <w:pStyle w:val="Normal.0"/>
        <w:spacing w:line="288" w:lineRule="auto"/>
        <w:jc w:val="both"/>
        <w:rPr>
          <w:sz w:val="10"/>
          <w:szCs w:val="10"/>
        </w:rPr>
      </w:pPr>
      <w:r>
        <w:rPr>
          <w:sz w:val="20"/>
          <w:szCs w:val="20"/>
          <w:rtl w:val="0"/>
          <w:lang w:val="it-IT"/>
        </w:rPr>
        <w:t xml:space="preserve"> </w:t>
      </w:r>
    </w:p>
    <w:p>
      <w:pPr>
        <w:pStyle w:val="Normal.0"/>
        <w:spacing w:line="288" w:lineRule="auto"/>
        <w:jc w:val="both"/>
        <w:rPr>
          <w:sz w:val="10"/>
          <w:szCs w:val="10"/>
        </w:rPr>
      </w:pPr>
    </w:p>
    <w:p>
      <w:pPr>
        <w:pStyle w:val="Normal.0"/>
        <w:spacing w:line="288" w:lineRule="auto"/>
        <w:jc w:val="both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Prosegue la stagione positiva per il mercato dell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usato che a febbraio archivia aumenti a due cifre, anche per effetto della giornata lavorativa in pi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per l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anno bisestile. 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passaggi di propriet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elle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autovetture al netto delle minivolture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(trasferimenti temporanei a nome del concessionario in attesa della rivendita al cliente finale) hanno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registrato 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un </w:t>
      </w:r>
      <w:r>
        <w:rPr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>incremento</w:t>
      </w:r>
      <w:r>
        <w:rPr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del 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15,6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% rispetto al mese di 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febbraio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202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3 </w:t>
      </w:r>
      <w:r>
        <w:rPr>
          <w:b w:val="0"/>
          <w:bCs w:val="0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>(+10,1% in termini di media giornaliera)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0"/>
          <w:bCs w:val="0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 xml:space="preserve">confermando ancora una volta </w:t>
      </w:r>
      <w:r>
        <w:rPr>
          <w:b w:val="0"/>
          <w:bCs w:val="0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>come il mercato dell</w:t>
      </w:r>
      <w:r>
        <w:rPr>
          <w:b w:val="0"/>
          <w:bCs w:val="0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0"/>
          <w:bCs w:val="0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>usato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continu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a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 attrarre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maggiori consensi 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rispetto al mercato del nuovo: 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per ogni 100 autovetture nuove 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 febbraio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ne sono state vendute 18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5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seconda mano, che salgono complessivamente a 193 nel primo bimestre dell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anno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line="288" w:lineRule="auto"/>
        <w:jc w:val="both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88" w:lineRule="auto"/>
        <w:jc w:val="both"/>
        <w:rPr>
          <w:b w:val="0"/>
          <w:bCs w:val="0"/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 crescita</w:t>
      </w:r>
      <w:r>
        <w:rPr>
          <w:b w:val="0"/>
          <w:bCs w:val="0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 xml:space="preserve"> anche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i 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passaggi netti d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motocicli, 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che hanno 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messo a bilancio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un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 xml:space="preserve">incremento 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del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14,3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%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rispetto al mese di febbraio 2023</w:t>
      </w:r>
      <w:r>
        <w:rPr>
          <w:b w:val="0"/>
          <w:bCs w:val="0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 xml:space="preserve"> (+8,8% in termini di media giornaliera).</w:t>
      </w:r>
    </w:p>
    <w:p>
      <w:pPr>
        <w:pStyle w:val="Normal.0"/>
        <w:spacing w:line="288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88" w:lineRule="auto"/>
        <w:jc w:val="both"/>
        <w:rPr>
          <w:b w:val="0"/>
          <w:bCs w:val="0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 xml:space="preserve">Per quanto riguarda le </w:t>
      </w:r>
      <w:r>
        <w:rPr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>alimentazioni</w:t>
      </w:r>
      <w:r>
        <w:rPr>
          <w:b w:val="0"/>
          <w:bCs w:val="0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 xml:space="preserve"> l</w:t>
      </w:r>
      <w:r>
        <w:rPr>
          <w:b w:val="0"/>
          <w:bCs w:val="0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 xml:space="preserve">e </w:t>
      </w:r>
      <w:r>
        <w:rPr>
          <w:b w:val="0"/>
          <w:bCs w:val="0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>preferenze dei consumatori</w:t>
      </w:r>
      <w:r>
        <w:rPr>
          <w:b w:val="0"/>
          <w:bCs w:val="0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per l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ennesima vo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ta, 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sono ricadute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sui carburanti</w:t>
      </w:r>
      <w:r>
        <w:rPr>
          <w:b w:val="0"/>
          <w:bCs w:val="0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>tradizionali (</w:t>
      </w:r>
      <w:r>
        <w:rPr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>gasolio e benzina</w:t>
      </w:r>
      <w:r>
        <w:rPr>
          <w:b w:val="0"/>
          <w:bCs w:val="0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>)</w:t>
      </w:r>
      <w:r>
        <w:rPr>
          <w:b w:val="0"/>
          <w:bCs w:val="0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 xml:space="preserve">; 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la quota delle vetture 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ibride a benzina </w:t>
      </w:r>
      <w:r>
        <w:rPr>
          <w:b w:val="0"/>
          <w:bCs w:val="0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>di seconda mano si attesta tuttavia al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6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3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%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evidenziando un aumento del 72,4%. Sempre al palo le compravendite di auto</w:t>
      </w:r>
      <w:r>
        <w:rPr>
          <w:b w:val="0"/>
          <w:bCs w:val="0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>elettriche</w:t>
      </w:r>
      <w:r>
        <w:rPr>
          <w:b w:val="0"/>
          <w:bCs w:val="0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>, che seppure in crescita del 71,2%, non superano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ancora lo 0,6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%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di quota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line="288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88" w:lineRule="auto"/>
        <w:jc w:val="both"/>
        <w:rPr>
          <w:b w:val="0"/>
          <w:bCs w:val="0"/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Nelle 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minivolture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si confermano 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al primo posto 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le 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alimentazioni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diesel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(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49,7%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di quota a 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febbraio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 calo rispetto all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analogo mese del 202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3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quando era il 5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3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%). L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incidenza delle alimentazioni </w:t>
      </w:r>
      <w:r>
        <w:rPr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>ibride a benzina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s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 colloca 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invece al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7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9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%, 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superando ancora una volta 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quella delle 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alimentazioni a 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gpl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che si attesta al 7,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5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%.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>Da evidenziare infine</w:t>
      </w:r>
      <w:r>
        <w:rPr>
          <w:b w:val="0"/>
          <w:bCs w:val="0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 xml:space="preserve"> l</w:t>
      </w:r>
      <w:r>
        <w:rPr>
          <w:b w:val="0"/>
          <w:bCs w:val="0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0"/>
          <w:bCs w:val="0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>aumento delle minivolture di auto</w:t>
      </w:r>
      <w:r>
        <w:rPr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 xml:space="preserve"> ibride a gasolio</w:t>
      </w:r>
      <w:r>
        <w:rPr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>(+</w:t>
      </w:r>
      <w:r>
        <w:rPr>
          <w:b w:val="0"/>
          <w:bCs w:val="0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>60,5%</w:t>
      </w:r>
      <w:r>
        <w:rPr>
          <w:b w:val="0"/>
          <w:bCs w:val="0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>), la cui</w:t>
      </w:r>
      <w:r>
        <w:rPr>
          <w:b w:val="0"/>
          <w:bCs w:val="0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>quota</w:t>
      </w:r>
      <w:r>
        <w:rPr>
          <w:b w:val="0"/>
          <w:bCs w:val="0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>resta per</w:t>
      </w:r>
      <w:r>
        <w:rPr>
          <w:b w:val="0"/>
          <w:bCs w:val="0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 xml:space="preserve">ò </w:t>
      </w:r>
      <w:r>
        <w:rPr>
          <w:b w:val="0"/>
          <w:bCs w:val="0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>ancora al di sotto del 2%.</w:t>
      </w:r>
    </w:p>
    <w:p>
      <w:pPr>
        <w:pStyle w:val="footer"/>
        <w:tabs>
          <w:tab w:val="clear" w:pos="4819"/>
          <w:tab w:val="clear" w:pos="9638"/>
        </w:tabs>
        <w:spacing w:line="288" w:lineRule="auto"/>
        <w:jc w:val="both"/>
        <w:rPr>
          <w:rFonts w:ascii="Cambria" w:cs="Cambria" w:hAnsi="Cambria" w:eastAsia="Cambria"/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footer"/>
        <w:tabs>
          <w:tab w:val="clear" w:pos="4819"/>
          <w:tab w:val="clear" w:pos="9638"/>
        </w:tabs>
        <w:spacing w:line="288" w:lineRule="auto"/>
        <w:jc w:val="both"/>
        <w:rPr>
          <w:rFonts w:ascii="Cambria" w:cs="Cambria" w:hAnsi="Cambria" w:eastAsia="Cambria"/>
          <w:b w:val="1"/>
          <w:bCs w:val="1"/>
          <w:sz w:val="20"/>
          <w:szCs w:val="20"/>
        </w:rPr>
      </w:pPr>
      <w:r>
        <w:rPr>
          <w:rFonts w:ascii="Cambria" w:hAnsi="Cambria"/>
          <w:sz w:val="20"/>
          <w:szCs w:val="20"/>
          <w:rtl w:val="0"/>
          <w:lang w:val="it-IT"/>
        </w:rPr>
        <w:t>Ne</w:t>
      </w:r>
      <w:r>
        <w:rPr>
          <w:rFonts w:ascii="Cambria" w:hAnsi="Cambria"/>
          <w:sz w:val="20"/>
          <w:szCs w:val="20"/>
          <w:rtl w:val="0"/>
          <w:lang w:val="it-IT"/>
        </w:rPr>
        <w:t>i</w:t>
      </w:r>
      <w:r>
        <w:rPr>
          <w:rFonts w:ascii="Cambria" w:hAnsi="Cambria"/>
          <w:sz w:val="20"/>
          <w:szCs w:val="20"/>
          <w:rtl w:val="0"/>
          <w:lang w:val="it-IT"/>
        </w:rPr>
        <w:t xml:space="preserve"> </w:t>
      </w:r>
      <w:r>
        <w:rPr>
          <w:rFonts w:ascii="Cambria" w:hAnsi="Cambria"/>
          <w:b w:val="1"/>
          <w:bCs w:val="1"/>
          <w:sz w:val="20"/>
          <w:szCs w:val="20"/>
          <w:rtl w:val="0"/>
          <w:lang w:val="it-IT"/>
        </w:rPr>
        <w:t>prim</w:t>
      </w:r>
      <w:r>
        <w:rPr>
          <w:rFonts w:ascii="Cambria" w:hAnsi="Cambria"/>
          <w:b w:val="1"/>
          <w:bCs w:val="1"/>
          <w:sz w:val="20"/>
          <w:szCs w:val="20"/>
          <w:rtl w:val="0"/>
          <w:lang w:val="it-IT"/>
        </w:rPr>
        <w:t>i due mesi</w:t>
      </w:r>
      <w:r>
        <w:rPr>
          <w:rFonts w:ascii="Cambria" w:hAnsi="Cambria"/>
          <w:b w:val="1"/>
          <w:bCs w:val="1"/>
          <w:sz w:val="20"/>
          <w:szCs w:val="20"/>
          <w:rtl w:val="0"/>
          <w:lang w:val="it-IT"/>
        </w:rPr>
        <w:t xml:space="preserve"> </w:t>
      </w:r>
      <w:r>
        <w:rPr>
          <w:rFonts w:ascii="Cambria" w:hAnsi="Cambria"/>
          <w:b w:val="1"/>
          <w:bCs w:val="1"/>
          <w:sz w:val="20"/>
          <w:szCs w:val="20"/>
          <w:rtl w:val="0"/>
          <w:lang w:val="it-IT"/>
        </w:rPr>
        <w:t>del</w:t>
      </w:r>
      <w:r>
        <w:rPr>
          <w:rFonts w:ascii="Cambria" w:hAnsi="Cambria"/>
          <w:b w:val="1"/>
          <w:bCs w:val="1"/>
          <w:sz w:val="20"/>
          <w:szCs w:val="20"/>
          <w:rtl w:val="0"/>
          <w:lang w:val="it-IT"/>
        </w:rPr>
        <w:t xml:space="preserve"> 202</w:t>
      </w:r>
      <w:r>
        <w:rPr>
          <w:rFonts w:ascii="Cambria" w:hAnsi="Cambria"/>
          <w:b w:val="1"/>
          <w:bCs w:val="1"/>
          <w:sz w:val="20"/>
          <w:szCs w:val="20"/>
          <w:rtl w:val="0"/>
          <w:lang w:val="it-IT"/>
        </w:rPr>
        <w:t>4</w:t>
      </w:r>
      <w:r>
        <w:rPr>
          <w:rFonts w:ascii="Cambria" w:hAnsi="Cambria"/>
          <w:sz w:val="20"/>
          <w:szCs w:val="20"/>
          <w:rtl w:val="0"/>
          <w:lang w:val="it-IT"/>
        </w:rPr>
        <w:t xml:space="preserve"> rispetto allo stesso periodo del 202</w:t>
      </w:r>
      <w:r>
        <w:rPr>
          <w:rFonts w:ascii="Cambria" w:hAnsi="Cambria"/>
          <w:sz w:val="20"/>
          <w:szCs w:val="20"/>
          <w:rtl w:val="0"/>
          <w:lang w:val="it-IT"/>
        </w:rPr>
        <w:t>3</w:t>
      </w:r>
      <w:r>
        <w:rPr>
          <w:rFonts w:ascii="Cambria" w:hAnsi="Cambria"/>
          <w:sz w:val="20"/>
          <w:szCs w:val="20"/>
          <w:rtl w:val="0"/>
          <w:lang w:val="it-IT"/>
        </w:rPr>
        <w:t xml:space="preserve"> i trasferimenti netti evidenziano</w:t>
      </w:r>
      <w:r>
        <w:rPr>
          <w:rFonts w:ascii="Cambria" w:hAnsi="Cambria"/>
          <w:b w:val="1"/>
          <w:bCs w:val="1"/>
          <w:sz w:val="20"/>
          <w:szCs w:val="20"/>
          <w:rtl w:val="0"/>
          <w:lang w:val="it-IT"/>
        </w:rPr>
        <w:t xml:space="preserve"> aumenti del </w:t>
      </w:r>
      <w:r>
        <w:rPr>
          <w:rFonts w:ascii="Cambria" w:hAnsi="Cambria"/>
          <w:b w:val="1"/>
          <w:bCs w:val="1"/>
          <w:sz w:val="20"/>
          <w:szCs w:val="20"/>
          <w:rtl w:val="0"/>
          <w:lang w:val="it-IT"/>
        </w:rPr>
        <w:t>14</w:t>
      </w:r>
      <w:r>
        <w:rPr>
          <w:rFonts w:ascii="Cambria" w:hAnsi="Cambria"/>
          <w:b w:val="1"/>
          <w:bCs w:val="1"/>
          <w:sz w:val="20"/>
          <w:szCs w:val="20"/>
          <w:rtl w:val="0"/>
          <w:lang w:val="it-IT"/>
        </w:rPr>
        <w:t>,</w:t>
      </w:r>
      <w:r>
        <w:rPr>
          <w:rFonts w:ascii="Cambria" w:hAnsi="Cambria"/>
          <w:b w:val="1"/>
          <w:bCs w:val="1"/>
          <w:sz w:val="20"/>
          <w:szCs w:val="20"/>
          <w:rtl w:val="0"/>
          <w:lang w:val="it-IT"/>
        </w:rPr>
        <w:t>1</w:t>
      </w:r>
      <w:r>
        <w:rPr>
          <w:rFonts w:ascii="Cambria" w:hAnsi="Cambria"/>
          <w:b w:val="1"/>
          <w:bCs w:val="1"/>
          <w:sz w:val="20"/>
          <w:szCs w:val="20"/>
          <w:rtl w:val="0"/>
          <w:lang w:val="it-IT"/>
        </w:rPr>
        <w:t>% per le autovetture</w:t>
      </w:r>
      <w:r>
        <w:rPr>
          <w:rFonts w:ascii="Cambria" w:hAnsi="Cambria"/>
          <w:b w:val="1"/>
          <w:bCs w:val="1"/>
          <w:sz w:val="20"/>
          <w:szCs w:val="20"/>
          <w:rtl w:val="0"/>
          <w:lang w:val="it-IT"/>
        </w:rPr>
        <w:t>, dell</w:t>
      </w:r>
      <w:r>
        <w:rPr>
          <w:rFonts w:ascii="Cambria" w:hAnsi="Cambria" w:hint="default"/>
          <w:b w:val="1"/>
          <w:bCs w:val="1"/>
          <w:sz w:val="20"/>
          <w:szCs w:val="20"/>
          <w:rtl w:val="0"/>
          <w:lang w:val="it-IT"/>
        </w:rPr>
        <w:t>’</w:t>
      </w:r>
      <w:r>
        <w:rPr>
          <w:rFonts w:ascii="Cambria" w:hAnsi="Cambria"/>
          <w:b w:val="1"/>
          <w:bCs w:val="1"/>
          <w:sz w:val="20"/>
          <w:szCs w:val="20"/>
          <w:rtl w:val="0"/>
          <w:lang w:val="it-IT"/>
        </w:rPr>
        <w:t xml:space="preserve">11,4% per i motocicli </w:t>
      </w:r>
      <w:r>
        <w:rPr>
          <w:rFonts w:ascii="Cambria" w:hAnsi="Cambria"/>
          <w:sz w:val="20"/>
          <w:szCs w:val="20"/>
          <w:rtl w:val="0"/>
          <w:lang w:val="it-IT"/>
        </w:rPr>
        <w:t>e</w:t>
      </w:r>
      <w:r>
        <w:rPr>
          <w:rFonts w:ascii="Cambria" w:hAnsi="Cambria"/>
          <w:b w:val="1"/>
          <w:bCs w:val="1"/>
          <w:sz w:val="20"/>
          <w:szCs w:val="20"/>
          <w:rtl w:val="0"/>
          <w:lang w:val="it-IT"/>
        </w:rPr>
        <w:t xml:space="preserve"> del </w:t>
      </w:r>
      <w:r>
        <w:rPr>
          <w:rFonts w:ascii="Cambria" w:hAnsi="Cambria"/>
          <w:b w:val="1"/>
          <w:bCs w:val="1"/>
          <w:sz w:val="20"/>
          <w:szCs w:val="20"/>
          <w:rtl w:val="0"/>
          <w:lang w:val="it-IT"/>
        </w:rPr>
        <w:t>13</w:t>
      </w:r>
      <w:r>
        <w:rPr>
          <w:rFonts w:ascii="Cambria" w:hAnsi="Cambria"/>
          <w:b w:val="1"/>
          <w:bCs w:val="1"/>
          <w:sz w:val="20"/>
          <w:szCs w:val="20"/>
          <w:rtl w:val="0"/>
          <w:lang w:val="it-IT"/>
        </w:rPr>
        <w:t>,</w:t>
      </w:r>
      <w:r>
        <w:rPr>
          <w:rFonts w:ascii="Cambria" w:hAnsi="Cambria"/>
          <w:b w:val="1"/>
          <w:bCs w:val="1"/>
          <w:sz w:val="20"/>
          <w:szCs w:val="20"/>
          <w:rtl w:val="0"/>
          <w:lang w:val="it-IT"/>
        </w:rPr>
        <w:t>2</w:t>
      </w:r>
      <w:r>
        <w:rPr>
          <w:rFonts w:ascii="Cambria" w:hAnsi="Cambria"/>
          <w:b w:val="1"/>
          <w:bCs w:val="1"/>
          <w:sz w:val="20"/>
          <w:szCs w:val="20"/>
          <w:rtl w:val="0"/>
          <w:lang w:val="it-IT"/>
        </w:rPr>
        <w:t>% per tutti i veicoli</w:t>
      </w:r>
      <w:r>
        <w:rPr>
          <w:rFonts w:ascii="Cambria" w:hAnsi="Cambria"/>
          <w:sz w:val="20"/>
          <w:szCs w:val="20"/>
          <w:rtl w:val="0"/>
          <w:lang w:val="it-IT"/>
        </w:rPr>
        <w:t>.</w:t>
      </w:r>
    </w:p>
    <w:p>
      <w:pPr>
        <w:pStyle w:val="Normal.0"/>
        <w:spacing w:line="288" w:lineRule="auto"/>
        <w:jc w:val="both"/>
        <w:rPr>
          <w:b w:val="0"/>
          <w:bCs w:val="0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88" w:lineRule="auto"/>
        <w:jc w:val="both"/>
        <w:rPr>
          <w:b w:val="0"/>
          <w:bCs w:val="0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dati sono riportati nell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ultimo 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bollettino mensile 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Auto-Trend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l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analisi statistica realizzata dall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Automobile Club d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Italia sui dati del PRA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consultabile sul sito www.aci.it .</w:t>
      </w:r>
    </w:p>
    <w:p>
      <w:pPr>
        <w:pStyle w:val="Normal.0"/>
        <w:spacing w:line="288" w:lineRule="auto"/>
        <w:jc w:val="both"/>
        <w:rPr>
          <w:b w:val="0"/>
          <w:bCs w:val="0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88" w:lineRule="auto"/>
        <w:jc w:val="both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>Forte balzo a febbraio per le</w:t>
      </w:r>
      <w:r>
        <w:rPr>
          <w:b w:val="0"/>
          <w:bCs w:val="0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 xml:space="preserve">radiazioni, </w:t>
      </w:r>
      <w:r>
        <w:rPr>
          <w:b w:val="0"/>
          <w:bCs w:val="0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>che nel settore delle</w:t>
      </w:r>
      <w:r>
        <w:rPr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 xml:space="preserve"> quattro ruote </w:t>
      </w:r>
      <w:r>
        <w:rPr>
          <w:b w:val="0"/>
          <w:bCs w:val="0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 xml:space="preserve">hanno </w:t>
      </w:r>
      <w:r>
        <w:rPr>
          <w:b w:val="0"/>
          <w:bCs w:val="0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 xml:space="preserve">conseguito un eclatante </w:t>
      </w:r>
      <w:r>
        <w:rPr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>+55,9% rispetto al mese di febbraio del 2023</w:t>
      </w:r>
      <w:r>
        <w:rPr>
          <w:b w:val="0"/>
          <w:bCs w:val="0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 xml:space="preserve"> (+48,4% in termini di media giornaliera). Risultato determinato in particolare dalle rottamazioni (+22,3%), dalle esportazioni (+29,3%) e da quasi 29.000 radiazioni d</w:t>
      </w:r>
      <w:r>
        <w:rPr>
          <w:b w:val="0"/>
          <w:bCs w:val="0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0"/>
          <w:bCs w:val="0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 xml:space="preserve">ufficio attivate dalla Regione Lombardia. 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Il tasso unitario di sostituzione 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 febbraio 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risulta pari a 0,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90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(ogni 100 auto nuove ne sono state radiate 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90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) e a 0,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81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ne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prim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bimestre dell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anno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line="288" w:lineRule="auto"/>
        <w:jc w:val="both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88" w:lineRule="auto"/>
        <w:jc w:val="both"/>
        <w:rPr>
          <w:b w:val="0"/>
          <w:bCs w:val="0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cremento mensile anche per 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le 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radiazioni di motocicli 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che hanno chiuso il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bilancio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di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febbraio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con una variazione positiva del 41,5% rispetto all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analogo mese del 2023(+34,7% in termini di media giornaliera), su cui ha pesato anche in questo caso la radiazione d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ufficio di oltre 3.000 motocicli operata dalla Regione Lombardia</w:t>
      </w: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line="288" w:lineRule="auto"/>
        <w:jc w:val="both"/>
        <w:rPr>
          <w:sz w:val="16"/>
          <w:szCs w:val="16"/>
        </w:rPr>
      </w:pPr>
    </w:p>
    <w:p>
      <w:pPr>
        <w:pStyle w:val="footer"/>
        <w:tabs>
          <w:tab w:val="left" w:pos="8805"/>
          <w:tab w:val="clear" w:pos="4819"/>
          <w:tab w:val="clear" w:pos="9638"/>
        </w:tabs>
        <w:spacing w:line="288" w:lineRule="auto"/>
        <w:jc w:val="both"/>
        <w:rPr>
          <w:rFonts w:ascii="Cambria" w:cs="Cambria" w:hAnsi="Cambria" w:eastAsia="Cambria"/>
          <w:sz w:val="20"/>
          <w:szCs w:val="20"/>
        </w:rPr>
      </w:pPr>
      <w:r>
        <w:rPr>
          <w:rFonts w:ascii="Cambria" w:hAnsi="Cambria"/>
          <w:sz w:val="20"/>
          <w:szCs w:val="20"/>
          <w:rtl w:val="0"/>
          <w:lang w:val="it-IT"/>
        </w:rPr>
        <w:t xml:space="preserve">Complessivamente </w:t>
      </w:r>
      <w:r>
        <w:rPr>
          <w:rFonts w:ascii="Cambria" w:hAnsi="Cambria"/>
          <w:sz w:val="20"/>
          <w:szCs w:val="20"/>
          <w:rtl w:val="0"/>
          <w:lang w:val="it-IT"/>
        </w:rPr>
        <w:t>nel primo bimestre</w:t>
      </w:r>
      <w:r>
        <w:rPr>
          <w:rFonts w:ascii="Cambria" w:hAnsi="Cambria"/>
          <w:sz w:val="20"/>
          <w:szCs w:val="20"/>
          <w:rtl w:val="0"/>
          <w:lang w:val="it-IT"/>
        </w:rPr>
        <w:t xml:space="preserve"> </w:t>
      </w:r>
      <w:r>
        <w:rPr>
          <w:rFonts w:ascii="Cambria" w:hAnsi="Cambria"/>
          <w:sz w:val="20"/>
          <w:szCs w:val="20"/>
          <w:rtl w:val="0"/>
          <w:lang w:val="it-IT"/>
        </w:rPr>
        <w:t xml:space="preserve">2024 </w:t>
      </w:r>
      <w:r>
        <w:rPr>
          <w:rFonts w:ascii="Cambria" w:hAnsi="Cambria"/>
          <w:sz w:val="20"/>
          <w:szCs w:val="20"/>
          <w:rtl w:val="0"/>
          <w:lang w:val="it-IT"/>
        </w:rPr>
        <w:t>rispetto a</w:t>
      </w:r>
      <w:r>
        <w:rPr>
          <w:rFonts w:ascii="Cambria" w:hAnsi="Cambria"/>
          <w:sz w:val="20"/>
          <w:szCs w:val="20"/>
          <w:rtl w:val="0"/>
          <w:lang w:val="it-IT"/>
        </w:rPr>
        <w:t xml:space="preserve">llo stesso periodo </w:t>
      </w:r>
      <w:r>
        <w:rPr>
          <w:rFonts w:ascii="Cambria" w:hAnsi="Cambria"/>
          <w:sz w:val="20"/>
          <w:szCs w:val="20"/>
          <w:rtl w:val="0"/>
          <w:lang w:val="it-IT"/>
        </w:rPr>
        <w:t>del 202</w:t>
      </w:r>
      <w:r>
        <w:rPr>
          <w:rFonts w:ascii="Cambria" w:hAnsi="Cambria"/>
          <w:sz w:val="20"/>
          <w:szCs w:val="20"/>
          <w:rtl w:val="0"/>
          <w:lang w:val="it-IT"/>
        </w:rPr>
        <w:t>3</w:t>
      </w:r>
      <w:r>
        <w:rPr>
          <w:rFonts w:ascii="Cambria" w:hAnsi="Cambria"/>
          <w:sz w:val="20"/>
          <w:szCs w:val="20"/>
          <w:rtl w:val="0"/>
          <w:lang w:val="it-IT"/>
        </w:rPr>
        <w:t xml:space="preserve"> le radiazioni hanno archiviato </w:t>
      </w:r>
      <w:r>
        <w:rPr>
          <w:rFonts w:ascii="Cambria" w:hAnsi="Cambria"/>
          <w:sz w:val="20"/>
          <w:szCs w:val="20"/>
          <w:rtl w:val="0"/>
          <w:lang w:val="it-IT"/>
        </w:rPr>
        <w:t xml:space="preserve"> incrementi</w:t>
      </w:r>
      <w:r>
        <w:rPr>
          <w:rFonts w:ascii="Cambria" w:hAnsi="Cambria"/>
          <w:sz w:val="20"/>
          <w:szCs w:val="20"/>
          <w:rtl w:val="0"/>
          <w:lang w:val="it-IT"/>
        </w:rPr>
        <w:t xml:space="preserve"> del</w:t>
      </w:r>
      <w:r>
        <w:rPr>
          <w:rFonts w:ascii="Cambria" w:hAnsi="Cambria"/>
          <w:sz w:val="20"/>
          <w:szCs w:val="20"/>
          <w:rtl w:val="0"/>
          <w:lang w:val="it-IT"/>
        </w:rPr>
        <w:t xml:space="preserve"> 34,4</w:t>
      </w:r>
      <w:r>
        <w:rPr>
          <w:rFonts w:ascii="Cambria" w:hAnsi="Cambria"/>
          <w:sz w:val="20"/>
          <w:szCs w:val="20"/>
          <w:rtl w:val="0"/>
          <w:lang w:val="it-IT"/>
        </w:rPr>
        <w:t>% per le autovetture</w:t>
      </w:r>
      <w:r>
        <w:rPr>
          <w:rFonts w:ascii="Cambria" w:hAnsi="Cambria"/>
          <w:sz w:val="20"/>
          <w:szCs w:val="20"/>
          <w:rtl w:val="0"/>
          <w:lang w:val="it-IT"/>
        </w:rPr>
        <w:t>, del 23,5% per i motocicli e</w:t>
      </w:r>
      <w:r>
        <w:rPr>
          <w:rFonts w:ascii="Cambria" w:hAnsi="Cambria"/>
          <w:sz w:val="20"/>
          <w:szCs w:val="20"/>
          <w:rtl w:val="0"/>
          <w:lang w:val="it-IT"/>
        </w:rPr>
        <w:t xml:space="preserve"> del</w:t>
      </w:r>
      <w:r>
        <w:rPr>
          <w:rFonts w:ascii="Cambria" w:hAnsi="Cambria"/>
          <w:sz w:val="20"/>
          <w:szCs w:val="20"/>
          <w:rtl w:val="0"/>
          <w:lang w:val="it-IT"/>
        </w:rPr>
        <w:t xml:space="preserve"> 35</w:t>
      </w:r>
      <w:r>
        <w:rPr>
          <w:rFonts w:ascii="Cambria" w:hAnsi="Cambria"/>
          <w:sz w:val="20"/>
          <w:szCs w:val="20"/>
          <w:rtl w:val="0"/>
          <w:lang w:val="it-IT"/>
        </w:rPr>
        <w:t>,</w:t>
      </w:r>
      <w:r>
        <w:rPr>
          <w:rFonts w:ascii="Cambria" w:hAnsi="Cambria"/>
          <w:sz w:val="20"/>
          <w:szCs w:val="20"/>
          <w:rtl w:val="0"/>
          <w:lang w:val="it-IT"/>
        </w:rPr>
        <w:t>4</w:t>
      </w:r>
      <w:r>
        <w:rPr>
          <w:rFonts w:ascii="Cambria" w:hAnsi="Cambria"/>
          <w:sz w:val="20"/>
          <w:szCs w:val="20"/>
          <w:rtl w:val="0"/>
          <w:lang w:val="it-IT"/>
        </w:rPr>
        <w:t>% per tutti i veicoli</w:t>
      </w:r>
      <w:r>
        <w:rPr>
          <w:rFonts w:ascii="Cambria" w:hAnsi="Cambria"/>
          <w:sz w:val="20"/>
          <w:szCs w:val="20"/>
          <w:rtl w:val="0"/>
          <w:lang w:val="it-IT"/>
        </w:rPr>
        <w:t>.</w:t>
      </w:r>
    </w:p>
    <w:p>
      <w:pPr>
        <w:pStyle w:val="Normal.0"/>
      </w:pPr>
    </w:p>
    <w:p>
      <w:pPr>
        <w:pStyle w:val="Normal.0"/>
      </w:pPr>
    </w:p>
    <w:p>
      <w:pPr>
        <w:pStyle w:val="Normal.0"/>
        <w:rPr>
          <w:outline w:val="0"/>
          <w:color w:val="800000"/>
          <w:sz w:val="22"/>
          <w:szCs w:val="22"/>
          <w:u w:color="800000"/>
          <w14:textFill>
            <w14:solidFill>
              <w14:srgbClr w14:val="800000"/>
            </w14:solidFill>
          </w14:textFill>
        </w:rPr>
      </w:pPr>
      <w:r>
        <w:rPr>
          <w:rFonts w:cs="Arial Unicode MS" w:eastAsia="Arial Unicode MS"/>
          <w:rtl w:val="0"/>
          <w:lang w:val="it-IT"/>
        </w:rPr>
        <w:t xml:space="preserve">  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 xml:space="preserve">RADIAZIONI E USATO A 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FEBBRAIO</w:t>
      </w:r>
    </w:p>
    <w:p>
      <w:pPr>
        <w:pStyle w:val="Normal.0"/>
        <w:rPr>
          <w:outline w:val="0"/>
          <w:color w:val="800000"/>
          <w:sz w:val="12"/>
          <w:szCs w:val="12"/>
          <w:u w:color="800000"/>
          <w14:textFill>
            <w14:solidFill>
              <w14:srgbClr w14:val="800000"/>
            </w14:solidFill>
          </w14:textFill>
        </w:rPr>
      </w:pPr>
    </w:p>
    <w:tbl>
      <w:tblPr>
        <w:tblW w:w="9323" w:type="dxa"/>
        <w:jc w:val="center"/>
        <w:tblInd w:w="64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08"/>
        <w:gridCol w:w="1383"/>
        <w:gridCol w:w="1383"/>
        <w:gridCol w:w="991"/>
        <w:gridCol w:w="1383"/>
        <w:gridCol w:w="1384"/>
        <w:gridCol w:w="991"/>
      </w:tblGrid>
      <w:tr>
        <w:tblPrEx>
          <w:shd w:val="clear" w:color="auto" w:fill="ced7e7"/>
        </w:tblPrEx>
        <w:trPr>
          <w:trHeight w:val="332" w:hRule="atLeast"/>
        </w:trPr>
        <w:tc>
          <w:tcPr>
            <w:tcW w:type="dxa" w:w="180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RADIAZIONI</w:t>
            </w:r>
          </w:p>
        </w:tc>
        <w:tc>
          <w:tcPr>
            <w:tcW w:type="dxa" w:w="37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PASSAGGI DI PROPRIETA</w:t>
            </w: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 xml:space="preserve">’ </w:t>
            </w: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(*)</w:t>
            </w:r>
          </w:p>
        </w:tc>
      </w:tr>
      <w:tr>
        <w:tblPrEx>
          <w:shd w:val="clear" w:color="auto" w:fill="ced7e7"/>
        </w:tblPrEx>
        <w:trPr>
          <w:trHeight w:val="342" w:hRule="atLeast"/>
        </w:trPr>
        <w:tc>
          <w:tcPr>
            <w:tcW w:type="dxa" w:w="1808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FEB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 ’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2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3</w:t>
            </w:r>
          </w:p>
        </w:tc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FEB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 ’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2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4</w:t>
            </w:r>
          </w:p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en-US"/>
              </w:rPr>
              <w:t>Var. %</w:t>
            </w:r>
          </w:p>
        </w:tc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FEB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 ’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23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FEB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 ’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2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4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en-US"/>
              </w:rPr>
              <w:t>Var. %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1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AUTO</w:t>
            </w:r>
          </w:p>
        </w:tc>
        <w:tc>
          <w:tcPr>
            <w:tcW w:type="dxa" w:w="138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84.614</w:t>
            </w:r>
          </w:p>
        </w:tc>
        <w:tc>
          <w:tcPr>
            <w:tcW w:type="dxa" w:w="138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131.874</w:t>
            </w:r>
          </w:p>
        </w:tc>
        <w:tc>
          <w:tcPr>
            <w:tcW w:type="dxa" w:w="991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55,9</w:t>
            </w:r>
          </w:p>
        </w:tc>
        <w:tc>
          <w:tcPr>
            <w:tcW w:type="dxa" w:w="138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235.603</w:t>
            </w:r>
          </w:p>
        </w:tc>
        <w:tc>
          <w:tcPr>
            <w:tcW w:type="dxa" w:w="138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272.407</w:t>
            </w:r>
          </w:p>
        </w:tc>
        <w:tc>
          <w:tcPr>
            <w:tcW w:type="dxa" w:w="990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15,6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1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MOTO</w:t>
            </w:r>
          </w:p>
        </w:tc>
        <w:tc>
          <w:tcPr>
            <w:tcW w:type="dxa" w:w="138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10.544</w:t>
            </w:r>
          </w:p>
        </w:tc>
        <w:tc>
          <w:tcPr>
            <w:tcW w:type="dxa" w:w="138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14.917</w:t>
            </w:r>
          </w:p>
        </w:tc>
        <w:tc>
          <w:tcPr>
            <w:tcW w:type="dxa" w:w="991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41,5</w:t>
            </w:r>
          </w:p>
        </w:tc>
        <w:tc>
          <w:tcPr>
            <w:tcW w:type="dxa" w:w="138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41.926</w:t>
            </w:r>
          </w:p>
        </w:tc>
        <w:tc>
          <w:tcPr>
            <w:tcW w:type="dxa" w:w="138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47.912</w:t>
            </w:r>
          </w:p>
        </w:tc>
        <w:tc>
          <w:tcPr>
            <w:tcW w:type="dxa" w:w="990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14,3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1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TUTTI I VEICOLI</w:t>
            </w:r>
          </w:p>
        </w:tc>
        <w:tc>
          <w:tcPr>
            <w:tcW w:type="dxa" w:w="138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104.749</w:t>
            </w:r>
          </w:p>
        </w:tc>
        <w:tc>
          <w:tcPr>
            <w:tcW w:type="dxa" w:w="138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165.969</w:t>
            </w:r>
          </w:p>
        </w:tc>
        <w:tc>
          <w:tcPr>
            <w:tcW w:type="dxa" w:w="991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58,4</w:t>
            </w:r>
          </w:p>
        </w:tc>
        <w:tc>
          <w:tcPr>
            <w:tcW w:type="dxa" w:w="138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317.625</w:t>
            </w:r>
          </w:p>
        </w:tc>
        <w:tc>
          <w:tcPr>
            <w:tcW w:type="dxa" w:w="138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365.436</w:t>
            </w:r>
          </w:p>
        </w:tc>
        <w:tc>
          <w:tcPr>
            <w:tcW w:type="dxa" w:w="990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15,1</w:t>
            </w:r>
          </w:p>
        </w:tc>
      </w:tr>
    </w:tbl>
    <w:p>
      <w:pPr>
        <w:pStyle w:val="Normal.0"/>
        <w:widowControl w:val="0"/>
        <w:ind w:left="541" w:hanging="541"/>
        <w:rPr>
          <w:outline w:val="0"/>
          <w:color w:val="800000"/>
          <w:sz w:val="12"/>
          <w:szCs w:val="12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widowControl w:val="0"/>
        <w:ind w:left="1" w:hanging="1"/>
        <w:rPr>
          <w:outline w:val="0"/>
          <w:color w:val="800000"/>
          <w:sz w:val="6"/>
          <w:szCs w:val="6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jc w:val="left"/>
        <w:rPr>
          <w:i w:val="1"/>
          <w:iCs w:val="1"/>
        </w:rPr>
      </w:pPr>
      <w:r>
        <w:rPr>
          <w:rtl w:val="0"/>
          <w:lang w:val="it-IT"/>
        </w:rPr>
        <w:t xml:space="preserve">      </w:t>
      </w:r>
      <w:r>
        <w:rPr>
          <w:i w:val="1"/>
          <w:iCs w:val="1"/>
          <w:rtl w:val="0"/>
          <w:lang w:val="it-IT"/>
        </w:rPr>
        <w:t xml:space="preserve">Fonte: ACI </w:t>
      </w:r>
      <w:r>
        <w:rPr>
          <w:i w:val="1"/>
          <w:iCs w:val="1"/>
          <w:rtl w:val="0"/>
          <w:lang w:val="it-IT"/>
        </w:rPr>
        <w:t xml:space="preserve">– </w:t>
      </w:r>
      <w:r>
        <w:rPr>
          <w:i w:val="1"/>
          <w:iCs w:val="1"/>
          <w:rtl w:val="0"/>
          <w:lang w:val="it-IT"/>
        </w:rPr>
        <w:t>Automobile Club d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Italia      (*) Al netto delle minivolture</w:t>
      </w:r>
    </w:p>
    <w:p>
      <w:pPr>
        <w:pStyle w:val="Normal.0"/>
        <w:jc w:val="left"/>
      </w:pPr>
    </w:p>
    <w:p>
      <w:pPr>
        <w:pStyle w:val="Normal.0"/>
        <w:jc w:val="left"/>
      </w:pPr>
    </w:p>
    <w:p>
      <w:pPr>
        <w:pStyle w:val="Normal.0"/>
        <w:jc w:val="left"/>
      </w:pPr>
    </w:p>
    <w:p>
      <w:pPr>
        <w:pStyle w:val="Normal.0"/>
        <w:jc w:val="left"/>
      </w:pPr>
    </w:p>
    <w:p>
      <w:pPr>
        <w:pStyle w:val="Normal.0"/>
        <w:rPr>
          <w:outline w:val="0"/>
          <w:color w:val="800000"/>
          <w:sz w:val="22"/>
          <w:szCs w:val="22"/>
          <w:u w:color="800000"/>
          <w14:textFill>
            <w14:solidFill>
              <w14:srgbClr w14:val="800000"/>
            </w14:solidFill>
          </w14:textFill>
        </w:rPr>
      </w:pPr>
      <w:r>
        <w:rPr>
          <w:rFonts w:cs="Arial Unicode MS" w:eastAsia="Arial Unicode MS"/>
          <w:rtl w:val="0"/>
          <w:lang w:val="it-IT"/>
        </w:rPr>
        <w:t xml:space="preserve">   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 xml:space="preserve">RADIAZIONI E USATO DA GENNAIO A 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FEBBRAIO</w:t>
      </w:r>
    </w:p>
    <w:p>
      <w:pPr>
        <w:pStyle w:val="Normal.0"/>
        <w:rPr>
          <w:outline w:val="0"/>
          <w:color w:val="800000"/>
          <w:sz w:val="12"/>
          <w:szCs w:val="12"/>
          <w:u w:color="800000"/>
          <w14:textFill>
            <w14:solidFill>
              <w14:srgbClr w14:val="800000"/>
            </w14:solidFill>
          </w14:textFill>
        </w:rPr>
      </w:pPr>
    </w:p>
    <w:tbl>
      <w:tblPr>
        <w:tblW w:w="9323" w:type="dxa"/>
        <w:jc w:val="center"/>
        <w:tblInd w:w="64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06"/>
        <w:gridCol w:w="1384"/>
        <w:gridCol w:w="1384"/>
        <w:gridCol w:w="993"/>
        <w:gridCol w:w="1382"/>
        <w:gridCol w:w="1383"/>
        <w:gridCol w:w="991"/>
      </w:tblGrid>
      <w:tr>
        <w:tblPrEx>
          <w:shd w:val="clear" w:color="auto" w:fill="ced7e7"/>
        </w:tblPrEx>
        <w:trPr>
          <w:trHeight w:val="332" w:hRule="atLeast"/>
        </w:trPr>
        <w:tc>
          <w:tcPr>
            <w:tcW w:type="dxa" w:w="180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6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RADIAZIONI</w:t>
            </w:r>
          </w:p>
        </w:tc>
        <w:tc>
          <w:tcPr>
            <w:tcW w:type="dxa" w:w="375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PASSAGGI DI PROPRIETA</w:t>
            </w: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 xml:space="preserve">’ </w:t>
            </w: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(*)</w:t>
            </w:r>
          </w:p>
        </w:tc>
      </w:tr>
      <w:tr>
        <w:tblPrEx>
          <w:shd w:val="clear" w:color="auto" w:fill="ced7e7"/>
        </w:tblPrEx>
        <w:trPr>
          <w:trHeight w:val="342" w:hRule="atLeast"/>
        </w:trPr>
        <w:tc>
          <w:tcPr>
            <w:tcW w:type="dxa" w:w="1806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u w:color="011892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GEN-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FEB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 ’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2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3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GEN-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FEB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 ’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2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4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en-US"/>
              </w:rPr>
              <w:t>Var. %</w:t>
            </w:r>
          </w:p>
        </w:tc>
        <w:tc>
          <w:tcPr>
            <w:tcW w:type="dxa" w:w="1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GEN-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FEB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 ’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2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3</w:t>
            </w:r>
          </w:p>
        </w:tc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GEN-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FEB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 ’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2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4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en-US"/>
              </w:rPr>
              <w:t>Var. %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1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AUTO</w:t>
            </w:r>
          </w:p>
        </w:tc>
        <w:tc>
          <w:tcPr>
            <w:tcW w:type="dxa" w:w="138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167.488</w:t>
            </w:r>
          </w:p>
        </w:tc>
        <w:tc>
          <w:tcPr>
            <w:tcW w:type="dxa" w:w="138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225.076</w:t>
            </w:r>
          </w:p>
        </w:tc>
        <w:tc>
          <w:tcPr>
            <w:tcW w:type="dxa" w:w="99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34,4</w:t>
            </w:r>
          </w:p>
        </w:tc>
        <w:tc>
          <w:tcPr>
            <w:tcW w:type="dxa" w:w="1381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469.904</w:t>
            </w:r>
          </w:p>
        </w:tc>
        <w:tc>
          <w:tcPr>
            <w:tcW w:type="dxa" w:w="138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536.085</w:t>
            </w:r>
          </w:p>
        </w:tc>
        <w:tc>
          <w:tcPr>
            <w:tcW w:type="dxa" w:w="990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14,1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1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MOTO</w:t>
            </w:r>
          </w:p>
        </w:tc>
        <w:tc>
          <w:tcPr>
            <w:tcW w:type="dxa" w:w="138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19.942</w:t>
            </w:r>
          </w:p>
        </w:tc>
        <w:tc>
          <w:tcPr>
            <w:tcW w:type="dxa" w:w="138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24.635</w:t>
            </w:r>
          </w:p>
        </w:tc>
        <w:tc>
          <w:tcPr>
            <w:tcW w:type="dxa" w:w="99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23,5</w:t>
            </w:r>
          </w:p>
        </w:tc>
        <w:tc>
          <w:tcPr>
            <w:tcW w:type="dxa" w:w="1381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77.690</w:t>
            </w:r>
          </w:p>
        </w:tc>
        <w:tc>
          <w:tcPr>
            <w:tcW w:type="dxa" w:w="138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86.518</w:t>
            </w:r>
          </w:p>
        </w:tc>
        <w:tc>
          <w:tcPr>
            <w:tcW w:type="dxa" w:w="990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11,4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1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TUTTI I VEICOLI</w:t>
            </w:r>
          </w:p>
        </w:tc>
        <w:tc>
          <w:tcPr>
            <w:tcW w:type="dxa" w:w="138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206.182</w:t>
            </w:r>
          </w:p>
        </w:tc>
        <w:tc>
          <w:tcPr>
            <w:tcW w:type="dxa" w:w="138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279.242</w:t>
            </w:r>
          </w:p>
        </w:tc>
        <w:tc>
          <w:tcPr>
            <w:tcW w:type="dxa" w:w="99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35,4</w:t>
            </w:r>
          </w:p>
        </w:tc>
        <w:tc>
          <w:tcPr>
            <w:tcW w:type="dxa" w:w="1381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629.002</w:t>
            </w:r>
          </w:p>
        </w:tc>
        <w:tc>
          <w:tcPr>
            <w:tcW w:type="dxa" w:w="138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712.114</w:t>
            </w:r>
          </w:p>
        </w:tc>
        <w:tc>
          <w:tcPr>
            <w:tcW w:type="dxa" w:w="990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13,2</w:t>
            </w:r>
          </w:p>
        </w:tc>
      </w:tr>
    </w:tbl>
    <w:p>
      <w:pPr>
        <w:pStyle w:val="Normal.0"/>
        <w:widowControl w:val="0"/>
        <w:ind w:left="541" w:hanging="541"/>
        <w:rPr>
          <w:outline w:val="0"/>
          <w:color w:val="800000"/>
          <w:sz w:val="12"/>
          <w:szCs w:val="12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widowControl w:val="0"/>
        <w:ind w:left="1" w:hanging="1"/>
        <w:rPr>
          <w:outline w:val="0"/>
          <w:color w:val="800000"/>
          <w:sz w:val="6"/>
          <w:szCs w:val="6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jc w:val="left"/>
      </w:pPr>
      <w:r>
        <w:rPr>
          <w:rtl w:val="0"/>
          <w:lang w:val="it-IT"/>
        </w:rPr>
        <w:t xml:space="preserve">      </w:t>
      </w:r>
      <w:r>
        <w:rPr>
          <w:i w:val="1"/>
          <w:iCs w:val="1"/>
          <w:rtl w:val="0"/>
          <w:lang w:val="it-IT"/>
        </w:rPr>
        <w:t xml:space="preserve">Fonte: ACI </w:t>
      </w:r>
      <w:r>
        <w:rPr>
          <w:i w:val="1"/>
          <w:iCs w:val="1"/>
          <w:rtl w:val="0"/>
          <w:lang w:val="it-IT"/>
        </w:rPr>
        <w:t xml:space="preserve">– </w:t>
      </w:r>
      <w:r>
        <w:rPr>
          <w:i w:val="1"/>
          <w:iCs w:val="1"/>
          <w:rtl w:val="0"/>
          <w:lang w:val="it-IT"/>
        </w:rPr>
        <w:t>Automobile Club d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Italia      (*) Al netto delle minivolture</w:t>
      </w:r>
    </w:p>
    <w:p>
      <w:pPr>
        <w:pStyle w:val="Normal.0"/>
        <w:jc w:val="left"/>
      </w:pPr>
    </w:p>
    <w:p>
      <w:pPr>
        <w:pStyle w:val="Normal.0"/>
        <w:jc w:val="left"/>
      </w:pPr>
    </w:p>
    <w:p>
      <w:pPr>
        <w:pStyle w:val="Normal.0"/>
        <w:jc w:val="left"/>
      </w:pPr>
    </w:p>
    <w:p>
      <w:pPr>
        <w:pStyle w:val="Normal.0"/>
        <w:rPr>
          <w:outline w:val="0"/>
          <w:color w:val="800000"/>
          <w:sz w:val="22"/>
          <w:szCs w:val="22"/>
          <w:u w:color="800000"/>
          <w14:textFill>
            <w14:solidFill>
              <w14:srgbClr w14:val="800000"/>
            </w14:solidFill>
          </w14:textFill>
        </w:rPr>
      </w:pPr>
      <w:r>
        <w:rPr>
          <w:rFonts w:cs="Arial Unicode MS" w:eastAsia="Arial Unicode MS"/>
          <w:sz w:val="22"/>
          <w:szCs w:val="22"/>
          <w:rtl w:val="0"/>
          <w:lang w:val="it-IT"/>
        </w:rPr>
        <w:t xml:space="preserve">   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202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4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: RADIAZIONI AUTOVETTURE SECONDO LA CLASSE EURO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 xml:space="preserve"> (val. %)</w:t>
      </w:r>
    </w:p>
    <w:p>
      <w:pPr>
        <w:pStyle w:val="Normal.0"/>
        <w:rPr>
          <w:outline w:val="0"/>
          <w:color w:val="800000"/>
          <w:sz w:val="12"/>
          <w:szCs w:val="12"/>
          <w:u w:color="800000"/>
          <w14:textFill>
            <w14:solidFill>
              <w14:srgbClr w14:val="800000"/>
            </w14:solidFill>
          </w14:textFill>
        </w:rPr>
      </w:pPr>
    </w:p>
    <w:tbl>
      <w:tblPr>
        <w:tblW w:w="9334" w:type="dxa"/>
        <w:jc w:val="center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64"/>
        <w:gridCol w:w="565"/>
        <w:gridCol w:w="617"/>
        <w:gridCol w:w="617"/>
        <w:gridCol w:w="617"/>
        <w:gridCol w:w="618"/>
        <w:gridCol w:w="616"/>
        <w:gridCol w:w="617"/>
        <w:gridCol w:w="617"/>
        <w:gridCol w:w="617"/>
        <w:gridCol w:w="617"/>
        <w:gridCol w:w="618"/>
        <w:gridCol w:w="617"/>
        <w:gridCol w:w="617"/>
      </w:tblGrid>
      <w:tr>
        <w:tblPrEx>
          <w:shd w:val="clear" w:color="auto" w:fill="ced7e7"/>
        </w:tblPrEx>
        <w:trPr>
          <w:trHeight w:val="511" w:hRule="exact"/>
        </w:trPr>
        <w:tc>
          <w:tcPr>
            <w:tcW w:type="dxa" w:w="13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17"/>
                <w:szCs w:val="17"/>
                <w:u w:color="000099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GEN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17"/>
                <w:szCs w:val="17"/>
                <w:u w:color="000099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FEB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17"/>
                <w:szCs w:val="17"/>
                <w:u w:color="000099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MAR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17"/>
                <w:szCs w:val="17"/>
                <w:u w:color="000099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APR</w:t>
            </w:r>
          </w:p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17"/>
                <w:szCs w:val="17"/>
                <w:u w:color="000099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MAG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17"/>
                <w:szCs w:val="17"/>
                <w:u w:color="000099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GIU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17"/>
                <w:szCs w:val="17"/>
                <w:u w:color="000099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LUG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17"/>
                <w:szCs w:val="17"/>
                <w:u w:color="000099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AGO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17"/>
                <w:szCs w:val="17"/>
                <w:u w:color="000099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SET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17"/>
                <w:szCs w:val="17"/>
                <w:u w:color="000099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OTT</w:t>
            </w:r>
          </w:p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17"/>
                <w:szCs w:val="17"/>
                <w:u w:color="000099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NOV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17"/>
                <w:szCs w:val="17"/>
                <w:u w:color="000099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DIC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0099"/>
                <w:sz w:val="16"/>
                <w:szCs w:val="16"/>
                <w:u w:color="000099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TOTALE</w:t>
            </w:r>
          </w:p>
        </w:tc>
      </w:tr>
      <w:tr>
        <w:tblPrEx>
          <w:shd w:val="clear" w:color="auto" w:fill="ced7e7"/>
        </w:tblPrEx>
        <w:trPr>
          <w:trHeight w:val="420" w:hRule="exact"/>
        </w:trPr>
        <w:tc>
          <w:tcPr>
            <w:tcW w:type="dxa" w:w="13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EURO 0</w:t>
            </w:r>
          </w:p>
        </w:tc>
        <w:tc>
          <w:tcPr>
            <w:tcW w:type="dxa" w:w="5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0,9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2,8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1,9</w:t>
            </w:r>
          </w:p>
        </w:tc>
      </w:tr>
      <w:tr>
        <w:tblPrEx>
          <w:shd w:val="clear" w:color="auto" w:fill="ced7e7"/>
        </w:tblPrEx>
        <w:trPr>
          <w:trHeight w:val="420" w:hRule="exact"/>
        </w:trPr>
        <w:tc>
          <w:tcPr>
            <w:tcW w:type="dxa" w:w="13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EURO 1</w:t>
            </w:r>
          </w:p>
        </w:tc>
        <w:tc>
          <w:tcPr>
            <w:tcW w:type="dxa" w:w="5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1,7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4,3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3,0</w:t>
            </w:r>
          </w:p>
        </w:tc>
      </w:tr>
      <w:tr>
        <w:tblPrEx>
          <w:shd w:val="clear" w:color="auto" w:fill="ced7e7"/>
        </w:tblPrEx>
        <w:trPr>
          <w:trHeight w:val="420" w:hRule="exact"/>
        </w:trPr>
        <w:tc>
          <w:tcPr>
            <w:tcW w:type="dxa" w:w="13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EURO 2</w:t>
            </w:r>
          </w:p>
        </w:tc>
        <w:tc>
          <w:tcPr>
            <w:tcW w:type="dxa" w:w="5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15,0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15,0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15,0</w:t>
            </w:r>
          </w:p>
        </w:tc>
      </w:tr>
      <w:tr>
        <w:tblPrEx>
          <w:shd w:val="clear" w:color="auto" w:fill="ced7e7"/>
        </w:tblPrEx>
        <w:trPr>
          <w:trHeight w:val="420" w:hRule="exact"/>
        </w:trPr>
        <w:tc>
          <w:tcPr>
            <w:tcW w:type="dxa" w:w="13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EURO 3</w:t>
            </w:r>
          </w:p>
        </w:tc>
        <w:tc>
          <w:tcPr>
            <w:tcW w:type="dxa" w:w="5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24,2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20,5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22,3</w:t>
            </w:r>
          </w:p>
        </w:tc>
      </w:tr>
      <w:tr>
        <w:tblPrEx>
          <w:shd w:val="clear" w:color="auto" w:fill="ced7e7"/>
        </w:tblPrEx>
        <w:trPr>
          <w:trHeight w:val="420" w:hRule="exact"/>
        </w:trPr>
        <w:tc>
          <w:tcPr>
            <w:tcW w:type="dxa" w:w="13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EURO 4</w:t>
            </w:r>
          </w:p>
        </w:tc>
        <w:tc>
          <w:tcPr>
            <w:tcW w:type="dxa" w:w="5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34,9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35,5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35,2</w:t>
            </w:r>
          </w:p>
        </w:tc>
      </w:tr>
      <w:tr>
        <w:tblPrEx>
          <w:shd w:val="clear" w:color="auto" w:fill="ced7e7"/>
        </w:tblPrEx>
        <w:trPr>
          <w:trHeight w:val="420" w:hRule="exact"/>
        </w:trPr>
        <w:tc>
          <w:tcPr>
            <w:tcW w:type="dxa" w:w="13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EURO 5-6</w:t>
            </w:r>
          </w:p>
        </w:tc>
        <w:tc>
          <w:tcPr>
            <w:tcW w:type="dxa" w:w="5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21,7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20,0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20,8</w:t>
            </w:r>
          </w:p>
        </w:tc>
      </w:tr>
      <w:tr>
        <w:tblPrEx>
          <w:shd w:val="clear" w:color="auto" w:fill="ced7e7"/>
        </w:tblPrEx>
        <w:trPr>
          <w:trHeight w:val="420" w:hRule="exact"/>
        </w:trPr>
        <w:tc>
          <w:tcPr>
            <w:tcW w:type="dxa" w:w="13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outline w:val="0"/>
                <w:color w:val="000099"/>
                <w:sz w:val="16"/>
                <w:szCs w:val="16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 xml:space="preserve">Non identificato </w:t>
            </w:r>
          </w:p>
        </w:tc>
        <w:tc>
          <w:tcPr>
            <w:tcW w:type="dxa" w:w="5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1,6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1,8</w:t>
            </w:r>
          </w:p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1,7</w:t>
            </w:r>
          </w:p>
        </w:tc>
      </w:tr>
    </w:tbl>
    <w:p>
      <w:pPr>
        <w:pStyle w:val="Normal.0"/>
        <w:widowControl w:val="0"/>
        <w:ind w:left="540" w:hanging="540"/>
        <w:rPr>
          <w:outline w:val="0"/>
          <w:color w:val="800000"/>
          <w:sz w:val="12"/>
          <w:szCs w:val="12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rPr>
          <w:outline w:val="0"/>
          <w:color w:val="800000"/>
          <w:sz w:val="6"/>
          <w:szCs w:val="6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jc w:val="left"/>
        <w:rPr>
          <w:i w:val="1"/>
          <w:iCs w:val="1"/>
        </w:rPr>
      </w:pPr>
      <w:r>
        <w:rPr>
          <w:outline w:val="0"/>
          <w:color w:val="800000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 xml:space="preserve">      </w:t>
      </w:r>
      <w:r>
        <w:rPr>
          <w:i w:val="1"/>
          <w:iCs w:val="1"/>
          <w:rtl w:val="0"/>
          <w:lang w:val="it-IT"/>
        </w:rPr>
        <w:t xml:space="preserve">Fonte: ACI </w:t>
      </w:r>
      <w:r>
        <w:rPr>
          <w:i w:val="1"/>
          <w:iCs w:val="1"/>
          <w:rtl w:val="0"/>
          <w:lang w:val="it-IT"/>
        </w:rPr>
        <w:t xml:space="preserve">– </w:t>
      </w:r>
      <w:r>
        <w:rPr>
          <w:i w:val="1"/>
          <w:iCs w:val="1"/>
          <w:rtl w:val="0"/>
          <w:lang w:val="it-IT"/>
        </w:rPr>
        <w:t>Automobile Club d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Italia</w:t>
      </w:r>
    </w:p>
    <w:p>
      <w:pPr>
        <w:pStyle w:val="Normal.0"/>
      </w:pPr>
    </w:p>
    <w:p>
      <w:pPr>
        <w:pStyle w:val="Normal.0"/>
        <w:rPr>
          <w:outline w:val="0"/>
          <w:color w:val="800000"/>
          <w:sz w:val="22"/>
          <w:szCs w:val="22"/>
          <w:u w:color="800000"/>
          <w14:textFill>
            <w14:solidFill>
              <w14:srgbClr w14:val="800000"/>
            </w14:solidFill>
          </w14:textFill>
        </w:rPr>
      </w:pPr>
      <w:r>
        <w:rPr>
          <w:rFonts w:cs="Arial Unicode MS" w:eastAsia="Arial Unicode MS"/>
          <w:sz w:val="22"/>
          <w:szCs w:val="22"/>
          <w:rtl w:val="0"/>
          <w:lang w:val="it-IT"/>
        </w:rPr>
        <w:t xml:space="preserve">   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CONFRONTO PRIME ISCRIZIONI</w:t>
      </w:r>
      <w:r>
        <w:rPr>
          <w:rFonts w:cs="Arial Unicode MS" w:eastAsia="Arial Unicode MS" w:hint="default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–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PASSAGGI AUTOVETTURE PER ALIMENTAZIONE</w:t>
      </w:r>
    </w:p>
    <w:p>
      <w:pPr>
        <w:pStyle w:val="Normal.0"/>
        <w:rPr>
          <w:sz w:val="12"/>
          <w:szCs w:val="12"/>
        </w:rPr>
      </w:pPr>
    </w:p>
    <w:tbl>
      <w:tblPr>
        <w:tblW w:w="9334" w:type="dxa"/>
        <w:jc w:val="center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59"/>
        <w:gridCol w:w="1338"/>
        <w:gridCol w:w="1242"/>
        <w:gridCol w:w="951"/>
        <w:gridCol w:w="1353"/>
        <w:gridCol w:w="1322"/>
        <w:gridCol w:w="969"/>
      </w:tblGrid>
      <w:tr>
        <w:tblPrEx>
          <w:shd w:val="clear" w:color="auto" w:fill="ced7e7"/>
        </w:tblPrEx>
        <w:trPr>
          <w:trHeight w:val="372" w:hRule="atLeast"/>
        </w:trPr>
        <w:tc>
          <w:tcPr>
            <w:tcW w:type="dxa" w:w="2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6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QUOTA DI MERCATO (%)</w:t>
            </w:r>
          </w:p>
        </w:tc>
        <w:tc>
          <w:tcPr>
            <w:tcW w:type="dxa" w:w="9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580" w:hRule="atLeast"/>
        </w:trPr>
        <w:tc>
          <w:tcPr>
            <w:tcW w:type="dxa" w:w="2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it-IT"/>
              </w:rPr>
              <w:t>FEB</w:t>
            </w:r>
            <w:r>
              <w:rPr>
                <w:sz w:val="20"/>
                <w:szCs w:val="20"/>
                <w:u w:color="011892"/>
                <w:rtl w:val="0"/>
                <w:lang w:val="it-IT"/>
              </w:rPr>
              <w:t xml:space="preserve"> ’</w:t>
            </w:r>
            <w:r>
              <w:rPr>
                <w:sz w:val="20"/>
                <w:szCs w:val="20"/>
                <w:u w:color="011892"/>
                <w:rtl w:val="0"/>
                <w:lang w:val="it-IT"/>
              </w:rPr>
              <w:t>2</w:t>
            </w:r>
            <w:r>
              <w:rPr>
                <w:sz w:val="20"/>
                <w:szCs w:val="20"/>
                <w:u w:color="011892"/>
                <w:rtl w:val="0"/>
                <w:lang w:val="it-IT"/>
              </w:rPr>
              <w:t>3</w:t>
            </w:r>
          </w:p>
        </w:tc>
        <w:tc>
          <w:tcPr>
            <w:tcW w:type="dxa" w:w="12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it-IT"/>
              </w:rPr>
              <w:t xml:space="preserve">FEB </w:t>
            </w:r>
            <w:r>
              <w:rPr>
                <w:sz w:val="20"/>
                <w:szCs w:val="20"/>
                <w:u w:color="011892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u w:color="011892"/>
                <w:rtl w:val="0"/>
                <w:lang w:val="it-IT"/>
              </w:rPr>
              <w:t>2</w:t>
            </w:r>
            <w:r>
              <w:rPr>
                <w:sz w:val="20"/>
                <w:szCs w:val="20"/>
                <w:u w:color="011892"/>
                <w:rtl w:val="0"/>
                <w:lang w:val="it-IT"/>
              </w:rPr>
              <w:t>4</w:t>
            </w:r>
          </w:p>
        </w:tc>
        <w:tc>
          <w:tcPr>
            <w:tcW w:type="dxa" w:w="9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</w:pPr>
            <w:r>
              <w:rPr>
                <w:sz w:val="20"/>
                <w:szCs w:val="20"/>
                <w:u w:color="011892"/>
                <w:rtl w:val="0"/>
                <w:lang w:val="it-IT"/>
              </w:rPr>
              <w:t>Var. %</w:t>
            </w:r>
          </w:p>
        </w:tc>
        <w:tc>
          <w:tcPr>
            <w:tcW w:type="dxa" w:w="13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GEN-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FEB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 ’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2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3</w:t>
            </w:r>
          </w:p>
        </w:tc>
        <w:tc>
          <w:tcPr>
            <w:tcW w:type="dxa" w:w="1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GEN-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FEB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 ’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2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4</w:t>
            </w:r>
          </w:p>
        </w:tc>
        <w:tc>
          <w:tcPr>
            <w:tcW w:type="dxa" w:w="9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rtl w:val="0"/>
                <w:lang w:val="it-IT"/>
              </w:rPr>
              <w:t>Var. %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 </w:t>
            </w:r>
          </w:p>
        </w:tc>
        <w:tc>
          <w:tcPr>
            <w:tcW w:type="dxa" w:w="6206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4"/>
                <w:szCs w:val="24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PASSAGGI AL NETTO MINIVOLTURE</w:t>
            </w:r>
          </w:p>
        </w:tc>
        <w:tc>
          <w:tcPr>
            <w:tcW w:type="dxa" w:w="9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 xml:space="preserve">BENZINA </w:t>
            </w:r>
          </w:p>
        </w:tc>
        <w:tc>
          <w:tcPr>
            <w:tcW w:type="dxa" w:w="13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38,0%</w:t>
            </w:r>
          </w:p>
        </w:tc>
        <w:tc>
          <w:tcPr>
            <w:tcW w:type="dxa" w:w="12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37,0%</w:t>
            </w:r>
          </w:p>
        </w:tc>
        <w:tc>
          <w:tcPr>
            <w:tcW w:type="dxa" w:w="9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13,0</w:t>
            </w:r>
          </w:p>
        </w:tc>
        <w:tc>
          <w:tcPr>
            <w:tcW w:type="dxa" w:w="13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37,8%</w:t>
            </w:r>
          </w:p>
        </w:tc>
        <w:tc>
          <w:tcPr>
            <w:tcW w:type="dxa" w:w="1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37,0%</w:t>
            </w:r>
          </w:p>
        </w:tc>
        <w:tc>
          <w:tcPr>
            <w:tcW w:type="dxa" w:w="9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12,5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DIESEL</w:t>
            </w:r>
          </w:p>
        </w:tc>
        <w:tc>
          <w:tcPr>
            <w:tcW w:type="dxa" w:w="13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46,2%</w:t>
            </w:r>
          </w:p>
        </w:tc>
        <w:tc>
          <w:tcPr>
            <w:tcW w:type="dxa" w:w="12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44,7%</w:t>
            </w:r>
          </w:p>
        </w:tc>
        <w:tc>
          <w:tcPr>
            <w:tcW w:type="dxa" w:w="9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12,0</w:t>
            </w:r>
          </w:p>
        </w:tc>
        <w:tc>
          <w:tcPr>
            <w:tcW w:type="dxa" w:w="13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46,0%</w:t>
            </w:r>
          </w:p>
        </w:tc>
        <w:tc>
          <w:tcPr>
            <w:tcW w:type="dxa" w:w="1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44,9%</w:t>
            </w:r>
          </w:p>
        </w:tc>
        <w:tc>
          <w:tcPr>
            <w:tcW w:type="dxa" w:w="9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11,9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BENZINA/GPL</w:t>
            </w:r>
          </w:p>
        </w:tc>
        <w:tc>
          <w:tcPr>
            <w:tcW w:type="dxa" w:w="13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7,3%</w:t>
            </w:r>
          </w:p>
        </w:tc>
        <w:tc>
          <w:tcPr>
            <w:tcW w:type="dxa" w:w="12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7,5%</w:t>
            </w:r>
          </w:p>
        </w:tc>
        <w:tc>
          <w:tcPr>
            <w:tcW w:type="dxa" w:w="9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18,1</w:t>
            </w:r>
          </w:p>
        </w:tc>
        <w:tc>
          <w:tcPr>
            <w:tcW w:type="dxa" w:w="13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7,2%</w:t>
            </w:r>
          </w:p>
        </w:tc>
        <w:tc>
          <w:tcPr>
            <w:tcW w:type="dxa" w:w="1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7,5%</w:t>
            </w:r>
          </w:p>
        </w:tc>
        <w:tc>
          <w:tcPr>
            <w:tcW w:type="dxa" w:w="9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19,1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BENZINA/METANO</w:t>
            </w:r>
          </w:p>
        </w:tc>
        <w:tc>
          <w:tcPr>
            <w:tcW w:type="dxa" w:w="13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2,1%</w:t>
            </w:r>
          </w:p>
        </w:tc>
        <w:tc>
          <w:tcPr>
            <w:tcW w:type="dxa" w:w="12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1,8%</w:t>
            </w:r>
          </w:p>
        </w:tc>
        <w:tc>
          <w:tcPr>
            <w:tcW w:type="dxa" w:w="9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0,1</w:t>
            </w:r>
          </w:p>
        </w:tc>
        <w:tc>
          <w:tcPr>
            <w:tcW w:type="dxa" w:w="13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2,1%</w:t>
            </w:r>
          </w:p>
        </w:tc>
        <w:tc>
          <w:tcPr>
            <w:tcW w:type="dxa" w:w="1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1,9%</w:t>
            </w:r>
          </w:p>
        </w:tc>
        <w:tc>
          <w:tcPr>
            <w:tcW w:type="dxa" w:w="9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1,8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METANO</w:t>
            </w:r>
          </w:p>
        </w:tc>
        <w:tc>
          <w:tcPr>
            <w:tcW w:type="dxa" w:w="13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0,6%</w:t>
            </w:r>
          </w:p>
        </w:tc>
        <w:tc>
          <w:tcPr>
            <w:tcW w:type="dxa" w:w="12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0,5%</w:t>
            </w:r>
          </w:p>
        </w:tc>
        <w:tc>
          <w:tcPr>
            <w:tcW w:type="dxa" w:w="9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7,6</w:t>
            </w:r>
          </w:p>
        </w:tc>
        <w:tc>
          <w:tcPr>
            <w:tcW w:type="dxa" w:w="13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0,6%</w:t>
            </w:r>
          </w:p>
        </w:tc>
        <w:tc>
          <w:tcPr>
            <w:tcW w:type="dxa" w:w="1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0,5%</w:t>
            </w:r>
          </w:p>
        </w:tc>
        <w:tc>
          <w:tcPr>
            <w:tcW w:type="dxa" w:w="9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5,5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ELETTRICO</w:t>
            </w:r>
          </w:p>
        </w:tc>
        <w:tc>
          <w:tcPr>
            <w:tcW w:type="dxa" w:w="13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0,4%</w:t>
            </w:r>
          </w:p>
        </w:tc>
        <w:tc>
          <w:tcPr>
            <w:tcW w:type="dxa" w:w="12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0,6%</w:t>
            </w:r>
          </w:p>
        </w:tc>
        <w:tc>
          <w:tcPr>
            <w:tcW w:type="dxa" w:w="9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71,2</w:t>
            </w:r>
          </w:p>
        </w:tc>
        <w:tc>
          <w:tcPr>
            <w:tcW w:type="dxa" w:w="13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0,4%</w:t>
            </w:r>
          </w:p>
        </w:tc>
        <w:tc>
          <w:tcPr>
            <w:tcW w:type="dxa" w:w="1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0,6%</w:t>
            </w:r>
          </w:p>
        </w:tc>
        <w:tc>
          <w:tcPr>
            <w:tcW w:type="dxa" w:w="9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66,4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en-US"/>
                <w14:textFill>
                  <w14:solidFill>
                    <w14:srgbClr w14:val="000099"/>
                  </w14:solidFill>
                </w14:textFill>
              </w:rPr>
              <w:t>IBRIDO-BENZINA</w:t>
            </w:r>
          </w:p>
        </w:tc>
        <w:tc>
          <w:tcPr>
            <w:tcW w:type="dxa" w:w="13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4,3%</w:t>
            </w:r>
          </w:p>
        </w:tc>
        <w:tc>
          <w:tcPr>
            <w:tcW w:type="dxa" w:w="12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6,3%</w:t>
            </w:r>
          </w:p>
        </w:tc>
        <w:tc>
          <w:tcPr>
            <w:tcW w:type="dxa" w:w="9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72,4</w:t>
            </w:r>
          </w:p>
        </w:tc>
        <w:tc>
          <w:tcPr>
            <w:tcW w:type="dxa" w:w="13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4,7%</w:t>
            </w:r>
          </w:p>
        </w:tc>
        <w:tc>
          <w:tcPr>
            <w:tcW w:type="dxa" w:w="1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6,1%</w:t>
            </w:r>
          </w:p>
        </w:tc>
        <w:tc>
          <w:tcPr>
            <w:tcW w:type="dxa" w:w="9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49,0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en-US"/>
                <w14:textFill>
                  <w14:solidFill>
                    <w14:srgbClr w14:val="000099"/>
                  </w14:solidFill>
                </w14:textFill>
              </w:rPr>
              <w:t>IBRIDO-GASOLIO</w:t>
            </w:r>
          </w:p>
        </w:tc>
        <w:tc>
          <w:tcPr>
            <w:tcW w:type="dxa" w:w="13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0,7%</w:t>
            </w:r>
          </w:p>
        </w:tc>
        <w:tc>
          <w:tcPr>
            <w:tcW w:type="dxa" w:w="12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1,1%</w:t>
            </w:r>
          </w:p>
        </w:tc>
        <w:tc>
          <w:tcPr>
            <w:tcW w:type="dxa" w:w="9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96,1</w:t>
            </w:r>
          </w:p>
        </w:tc>
        <w:tc>
          <w:tcPr>
            <w:tcW w:type="dxa" w:w="13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0,6%</w:t>
            </w:r>
          </w:p>
        </w:tc>
        <w:tc>
          <w:tcPr>
            <w:tcW w:type="dxa" w:w="1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1,1%</w:t>
            </w:r>
          </w:p>
        </w:tc>
        <w:tc>
          <w:tcPr>
            <w:tcW w:type="dxa" w:w="9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96,8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206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4"/>
                <w:szCs w:val="24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MINIVOLTURE</w:t>
            </w:r>
          </w:p>
        </w:tc>
        <w:tc>
          <w:tcPr>
            <w:tcW w:type="dxa" w:w="9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 xml:space="preserve">BENZINA </w:t>
            </w:r>
          </w:p>
        </w:tc>
        <w:tc>
          <w:tcPr>
            <w:tcW w:type="dxa" w:w="13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29,1%</w:t>
            </w:r>
          </w:p>
        </w:tc>
        <w:tc>
          <w:tcPr>
            <w:tcW w:type="dxa" w:w="12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30,0%</w:t>
            </w:r>
          </w:p>
        </w:tc>
        <w:tc>
          <w:tcPr>
            <w:tcW w:type="dxa" w:w="9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16,1</w:t>
            </w:r>
          </w:p>
        </w:tc>
        <w:tc>
          <w:tcPr>
            <w:tcW w:type="dxa" w:w="13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29,3%</w:t>
            </w:r>
          </w:p>
        </w:tc>
        <w:tc>
          <w:tcPr>
            <w:tcW w:type="dxa" w:w="1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29,9%</w:t>
            </w:r>
          </w:p>
        </w:tc>
        <w:tc>
          <w:tcPr>
            <w:tcW w:type="dxa" w:w="9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18,7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DIESEL</w:t>
            </w:r>
          </w:p>
        </w:tc>
        <w:tc>
          <w:tcPr>
            <w:tcW w:type="dxa" w:w="13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53,0%</w:t>
            </w:r>
          </w:p>
        </w:tc>
        <w:tc>
          <w:tcPr>
            <w:tcW w:type="dxa" w:w="12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49,7%</w:t>
            </w:r>
          </w:p>
        </w:tc>
        <w:tc>
          <w:tcPr>
            <w:tcW w:type="dxa" w:w="9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5,7</w:t>
            </w:r>
          </w:p>
        </w:tc>
        <w:tc>
          <w:tcPr>
            <w:tcW w:type="dxa" w:w="13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52,8%</w:t>
            </w:r>
          </w:p>
        </w:tc>
        <w:tc>
          <w:tcPr>
            <w:tcW w:type="dxa" w:w="1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49,7%</w:t>
            </w:r>
          </w:p>
        </w:tc>
        <w:tc>
          <w:tcPr>
            <w:tcW w:type="dxa" w:w="9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9,8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BENZINA/GPL</w:t>
            </w:r>
          </w:p>
        </w:tc>
        <w:tc>
          <w:tcPr>
            <w:tcW w:type="dxa" w:w="13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7,4%</w:t>
            </w:r>
          </w:p>
        </w:tc>
        <w:tc>
          <w:tcPr>
            <w:tcW w:type="dxa" w:w="12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7,5%</w:t>
            </w:r>
          </w:p>
        </w:tc>
        <w:tc>
          <w:tcPr>
            <w:tcW w:type="dxa" w:w="9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13,7</w:t>
            </w:r>
          </w:p>
        </w:tc>
        <w:tc>
          <w:tcPr>
            <w:tcW w:type="dxa" w:w="13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7,4%</w:t>
            </w:r>
          </w:p>
        </w:tc>
        <w:tc>
          <w:tcPr>
            <w:tcW w:type="dxa" w:w="1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7,5%</w:t>
            </w:r>
          </w:p>
        </w:tc>
        <w:tc>
          <w:tcPr>
            <w:tcW w:type="dxa" w:w="9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18,7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BENZINA/METANO</w:t>
            </w:r>
          </w:p>
        </w:tc>
        <w:tc>
          <w:tcPr>
            <w:tcW w:type="dxa" w:w="13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2,1%</w:t>
            </w:r>
          </w:p>
        </w:tc>
        <w:tc>
          <w:tcPr>
            <w:tcW w:type="dxa" w:w="12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1,7%</w:t>
            </w:r>
          </w:p>
        </w:tc>
        <w:tc>
          <w:tcPr>
            <w:tcW w:type="dxa" w:w="9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-6,3</w:t>
            </w:r>
          </w:p>
        </w:tc>
        <w:tc>
          <w:tcPr>
            <w:tcW w:type="dxa" w:w="13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2,0%</w:t>
            </w:r>
          </w:p>
        </w:tc>
        <w:tc>
          <w:tcPr>
            <w:tcW w:type="dxa" w:w="1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1,7%</w:t>
            </w:r>
          </w:p>
        </w:tc>
        <w:tc>
          <w:tcPr>
            <w:tcW w:type="dxa" w:w="9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-1,7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METANO</w:t>
            </w:r>
          </w:p>
        </w:tc>
        <w:tc>
          <w:tcPr>
            <w:tcW w:type="dxa" w:w="13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0,7%</w:t>
            </w:r>
          </w:p>
        </w:tc>
        <w:tc>
          <w:tcPr>
            <w:tcW w:type="dxa" w:w="12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0,6%</w:t>
            </w:r>
          </w:p>
        </w:tc>
        <w:tc>
          <w:tcPr>
            <w:tcW w:type="dxa" w:w="9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6,4</w:t>
            </w:r>
          </w:p>
        </w:tc>
        <w:tc>
          <w:tcPr>
            <w:tcW w:type="dxa" w:w="13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0,7%</w:t>
            </w:r>
          </w:p>
        </w:tc>
        <w:tc>
          <w:tcPr>
            <w:tcW w:type="dxa" w:w="1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0,6%</w:t>
            </w:r>
          </w:p>
        </w:tc>
        <w:tc>
          <w:tcPr>
            <w:tcW w:type="dxa" w:w="9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2,2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ELETTRICO</w:t>
            </w:r>
          </w:p>
        </w:tc>
        <w:tc>
          <w:tcPr>
            <w:tcW w:type="dxa" w:w="13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0,8%</w:t>
            </w:r>
          </w:p>
        </w:tc>
        <w:tc>
          <w:tcPr>
            <w:tcW w:type="dxa" w:w="12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1,0%</w:t>
            </w:r>
          </w:p>
        </w:tc>
        <w:tc>
          <w:tcPr>
            <w:tcW w:type="dxa" w:w="9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37,5</w:t>
            </w:r>
          </w:p>
        </w:tc>
        <w:tc>
          <w:tcPr>
            <w:tcW w:type="dxa" w:w="13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0,8%</w:t>
            </w:r>
          </w:p>
        </w:tc>
        <w:tc>
          <w:tcPr>
            <w:tcW w:type="dxa" w:w="1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1,0%</w:t>
            </w:r>
          </w:p>
        </w:tc>
        <w:tc>
          <w:tcPr>
            <w:tcW w:type="dxa" w:w="9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47,7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en-US"/>
                <w14:textFill>
                  <w14:solidFill>
                    <w14:srgbClr w14:val="000099"/>
                  </w14:solidFill>
                </w14:textFill>
              </w:rPr>
              <w:t>IBRIDO-BENZINA</w:t>
            </w:r>
          </w:p>
        </w:tc>
        <w:tc>
          <w:tcPr>
            <w:tcW w:type="dxa" w:w="13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5,7%</w:t>
            </w:r>
          </w:p>
        </w:tc>
        <w:tc>
          <w:tcPr>
            <w:tcW w:type="dxa" w:w="12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7,9%</w:t>
            </w:r>
          </w:p>
        </w:tc>
        <w:tc>
          <w:tcPr>
            <w:tcW w:type="dxa" w:w="9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57,1</w:t>
            </w:r>
          </w:p>
        </w:tc>
        <w:tc>
          <w:tcPr>
            <w:tcW w:type="dxa" w:w="13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5,8%</w:t>
            </w:r>
          </w:p>
        </w:tc>
        <w:tc>
          <w:tcPr>
            <w:tcW w:type="dxa" w:w="1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7,9%</w:t>
            </w:r>
          </w:p>
        </w:tc>
        <w:tc>
          <w:tcPr>
            <w:tcW w:type="dxa" w:w="9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58,9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en-US"/>
                <w14:textFill>
                  <w14:solidFill>
                    <w14:srgbClr w14:val="000099"/>
                  </w14:solidFill>
                </w14:textFill>
              </w:rPr>
              <w:t>IBRIDO-GASOLIO</w:t>
            </w:r>
          </w:p>
        </w:tc>
        <w:tc>
          <w:tcPr>
            <w:tcW w:type="dxa" w:w="13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1,1%</w:t>
            </w:r>
          </w:p>
        </w:tc>
        <w:tc>
          <w:tcPr>
            <w:tcW w:type="dxa" w:w="12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1,6%</w:t>
            </w:r>
          </w:p>
        </w:tc>
        <w:tc>
          <w:tcPr>
            <w:tcW w:type="dxa" w:w="9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60,5</w:t>
            </w:r>
          </w:p>
        </w:tc>
        <w:tc>
          <w:tcPr>
            <w:tcW w:type="dxa" w:w="13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1,1%</w:t>
            </w:r>
          </w:p>
        </w:tc>
        <w:tc>
          <w:tcPr>
            <w:tcW w:type="dxa" w:w="1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1,7%</w:t>
            </w:r>
          </w:p>
        </w:tc>
        <w:tc>
          <w:tcPr>
            <w:tcW w:type="dxa" w:w="9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82,8</w:t>
            </w:r>
          </w:p>
        </w:tc>
      </w:tr>
    </w:tbl>
    <w:p>
      <w:pPr>
        <w:pStyle w:val="Normal.0"/>
        <w:widowControl w:val="0"/>
        <w:ind w:left="540" w:hanging="540"/>
        <w:rPr>
          <w:sz w:val="12"/>
          <w:szCs w:val="12"/>
        </w:rPr>
      </w:pPr>
    </w:p>
    <w:p>
      <w:pPr>
        <w:pStyle w:val="Normal.0"/>
        <w:widowControl w:val="0"/>
        <w:rPr>
          <w:sz w:val="6"/>
          <w:szCs w:val="6"/>
        </w:rPr>
      </w:pPr>
    </w:p>
    <w:p>
      <w:pPr>
        <w:pStyle w:val="Normal.0"/>
        <w:jc w:val="left"/>
        <w:rPr>
          <w:i w:val="1"/>
          <w:iCs w:val="1"/>
        </w:rPr>
      </w:pPr>
      <w:r>
        <w:rPr>
          <w:rtl w:val="0"/>
          <w:lang w:val="it-IT"/>
        </w:rPr>
        <w:t xml:space="preserve">             </w:t>
      </w:r>
      <w:r>
        <w:rPr>
          <w:i w:val="1"/>
          <w:iCs w:val="1"/>
          <w:rtl w:val="0"/>
          <w:lang w:val="it-IT"/>
        </w:rPr>
        <w:t xml:space="preserve">Fonte: ACI </w:t>
      </w:r>
      <w:r>
        <w:rPr>
          <w:i w:val="1"/>
          <w:iCs w:val="1"/>
          <w:rtl w:val="0"/>
          <w:lang w:val="it-IT"/>
        </w:rPr>
        <w:t xml:space="preserve">– </w:t>
      </w:r>
      <w:r>
        <w:rPr>
          <w:i w:val="1"/>
          <w:iCs w:val="1"/>
          <w:rtl w:val="0"/>
          <w:lang w:val="it-IT"/>
        </w:rPr>
        <w:t>Automobile Club d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Italia</w:t>
      </w:r>
    </w:p>
    <w:p>
      <w:pPr>
        <w:pStyle w:val="Normal.0"/>
        <w:jc w:val="left"/>
      </w:pPr>
      <w:r>
        <w:rPr>
          <w:i w:val="1"/>
          <w:iCs w:val="1"/>
          <w:rtl w:val="0"/>
          <w:lang w:val="it-IT"/>
        </w:rPr>
        <w:t xml:space="preserve">             NOTA: Le variazioni percentuali sono calcolate rispetto ai valori assoluti delle formalit</w:t>
      </w:r>
      <w:r>
        <w:rPr>
          <w:i w:val="1"/>
          <w:iCs w:val="1"/>
          <w:rtl w:val="0"/>
          <w:lang w:val="it-IT"/>
        </w:rPr>
        <w:t xml:space="preserve">à </w:t>
      </w:r>
      <w:r>
        <w:rPr>
          <w:i w:val="1"/>
          <w:iCs w:val="1"/>
          <w:rtl w:val="0"/>
          <w:lang w:val="it-IT"/>
        </w:rPr>
        <w:t>non inseriti in tabella.</w:t>
      </w:r>
    </w:p>
    <w:p>
      <w:pPr>
        <w:pStyle w:val="Normal.0"/>
        <w:jc w:val="left"/>
        <w:rPr>
          <w:sz w:val="22"/>
          <w:szCs w:val="22"/>
        </w:rPr>
      </w:pPr>
    </w:p>
    <w:p>
      <w:pPr>
        <w:pStyle w:val="Normal.0"/>
        <w:jc w:val="left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AUTOVETTURE: QUADRO PROVINCIALE (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Febbraio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 xml:space="preserve"> 202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4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)</w:t>
      </w:r>
    </w:p>
    <w:p>
      <w:pPr>
        <w:pStyle w:val="Normal.0"/>
        <w:rPr>
          <w:outline w:val="0"/>
          <w:color w:val="800000"/>
          <w:sz w:val="12"/>
          <w:szCs w:val="12"/>
          <w:u w:color="800000"/>
          <w14:textFill>
            <w14:solidFill>
              <w14:srgbClr w14:val="800000"/>
            </w14:solidFill>
          </w14:textFill>
        </w:rPr>
      </w:pPr>
    </w:p>
    <w:tbl>
      <w:tblPr>
        <w:tblW w:w="9279" w:type="dxa"/>
        <w:jc w:val="center"/>
        <w:tblInd w:w="70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50"/>
        <w:gridCol w:w="1121"/>
        <w:gridCol w:w="1121"/>
        <w:gridCol w:w="1122"/>
        <w:gridCol w:w="1121"/>
        <w:gridCol w:w="1121"/>
        <w:gridCol w:w="1123"/>
      </w:tblGrid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0080"/>
                <w:sz w:val="20"/>
                <w:szCs w:val="20"/>
                <w:u w:color="000080"/>
                <w:shd w:val="nil" w:color="auto" w:fill="auto"/>
                <w:rtl w:val="0"/>
                <w:lang w:val="it-IT"/>
                <w14:textFill>
                  <w14:solidFill>
                    <w14:srgbClr w14:val="000080"/>
                  </w14:solidFill>
                </w14:textFill>
              </w:rPr>
              <w:t> </w:t>
            </w:r>
          </w:p>
        </w:tc>
        <w:tc>
          <w:tcPr>
            <w:tcW w:type="dxa" w:w="3363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RADIAZIONI</w:t>
            </w:r>
          </w:p>
        </w:tc>
        <w:tc>
          <w:tcPr>
            <w:tcW w:type="dxa" w:w="3364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PASSAGGI NETTI</w:t>
            </w:r>
          </w:p>
        </w:tc>
      </w:tr>
      <w:tr>
        <w:tblPrEx>
          <w:shd w:val="clear" w:color="auto" w:fill="ced7e7"/>
        </w:tblPrEx>
        <w:trPr>
          <w:trHeight w:val="58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outline w:val="0"/>
                <w:color w:val="000099"/>
                <w:sz w:val="22"/>
                <w:szCs w:val="22"/>
                <w:u w:color="000099"/>
                <w:shd w:val="nil" w:color="auto" w:fill="auto"/>
                <w:lang w:val="it-IT"/>
                <w14:textFill>
                  <w14:solidFill>
                    <w14:srgbClr w14:val="000099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000099"/>
                <w:sz w:val="22"/>
                <w:szCs w:val="22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Provincia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202</w:t>
            </w: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202</w:t>
            </w: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4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 xml:space="preserve"> Var. %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202</w:t>
            </w: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202</w:t>
            </w: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4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 xml:space="preserve"> Var. %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AL (Alessandria)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659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818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C3/B3*100-100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24,1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1.772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2.078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F3/E3*100-100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17,2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AT (Asti)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296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354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C4/B4*100-100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19,7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945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1.077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F4/E4*100-100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14,0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BI (Biella)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350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C5/B5*100-100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46,0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806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913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F5/E5*100-100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13,3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CN (Cuneo)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901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1.214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C6/B6*100-100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34,7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2.622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2.906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F6/E6*100-100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10,8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NO (Novara)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600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608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C7/B7*100-100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1,3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1.496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1.705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F7/E7*100-100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14,0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TO (Torino)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2.467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2.928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C8/B8*100-100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18,7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9.203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10.487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F8/E8*100-100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14,0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VB (Verbania)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300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C9/B9*100-100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34,6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693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784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F9/E9*100-100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13,1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VC (Vercelli)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283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370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C10/B10*100-100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30,9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739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856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F10/E10*100-100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15,8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PIEMONTE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SUM(B3:B10)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5.669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SUM(C3:C10)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6.943</w:t>
            </w:r>
            <w:r>
              <w:rPr/>
              <w:fldChar w:fldCharType="end" w:fldLock="0"/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C11/B11*100-100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22,5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SUM(E3:E10)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18.276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SUM(F3:F10)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20.806</w:t>
            </w:r>
            <w:r>
              <w:rPr/>
              <w:fldChar w:fldCharType="end" w:fldLock="0"/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F11/E11*100-100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13,8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AO (Aosta)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221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C12/B12*100-100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-1,7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576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642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F12/E12*100-100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11,4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VALLE D'AOSTA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B12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225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C12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221</w:t>
            </w:r>
            <w:r>
              <w:rPr/>
              <w:fldChar w:fldCharType="end" w:fldLock="0"/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C13/B13*100-100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-1,7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E12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576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F12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642</w:t>
            </w:r>
            <w:r>
              <w:rPr/>
              <w:fldChar w:fldCharType="end" w:fldLock="0"/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F13/E13*100-100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11,4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BG (Bergamo)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1.293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3.180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C14/B14*100-100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145,9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4.320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4.979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F14/E14*100-100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15,3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BS (Brescia)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1.681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5.312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C15/B15*100-100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216,0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5.331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6.202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F15/E15*100-100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16,3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CO (Como)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892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2.984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C16/B16*100-100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234,5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2.425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2.921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F16/E16*100-100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20,4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CR (Cremona)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598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1.407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C17/B17*100-100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135,3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1.354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1.679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F17/E17*100-100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24,0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LC (Lecco)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507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1.502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C18/B18*100-100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196,3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1.198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1.447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F18/E18*100-100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20,8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LO (Lodi)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395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927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C19/B19*100-100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134,6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891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1.077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F19/E19*100-100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20,9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MN (Mantova)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615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1.766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C20/B20*100-100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187,2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1.580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2.101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F20/E20*100-100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33,0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MI (Milano)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5.440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19.933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C21/B21*100-100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266,4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10.651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12.426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F21/E21*100-100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16,7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MB (Monza Brianza)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1.282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3.795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C22/B22*100-100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196,0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3.172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3.704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F22/E22*100-100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16,8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PV (Pavia)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814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2.429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C23/B23*100-100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198,4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2.248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2.787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F23/E23*100-100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24,0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SO (Sondrio)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270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610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C24/B24*100-100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125,7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761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854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F24/E24*100-100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12,2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VA (Varese)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1.285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3.799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C25/B25*100-100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195,7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3.500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4.016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F25/E25*100-100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14,7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LOMBARDIA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SUM(B14:B25)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15.072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SUM(C14:C25)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47.644</w:t>
            </w:r>
            <w:r>
              <w:rPr/>
              <w:fldChar w:fldCharType="end" w:fldLock="0"/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C26/B26*100-100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216,1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SUM(E14:E25)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37.431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SUM(F14:F25)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44.192</w:t>
            </w:r>
            <w:r>
              <w:rPr/>
              <w:fldChar w:fldCharType="end" w:fldLock="0"/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F26/E26*100-100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18,1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BZ (Bolzano)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1.023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1.167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C27/B27*100-100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14,1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2.031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2.456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F27/E27*100-100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20,9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TN (Trento)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1.132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1.057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C28/B28*100-100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-6,6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2.569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3.103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F28/E28*100-100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20,8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TRENTINO A.A.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SUM(B27:B28)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2.155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SUM(C27:C28)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2.224</w:t>
            </w:r>
            <w:r>
              <w:rPr/>
              <w:fldChar w:fldCharType="end" w:fldLock="0"/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C29/B29*100-100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3,2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SUM(E27:E28)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4.600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SUM(F27:F28)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5.559</w:t>
            </w:r>
            <w:r>
              <w:rPr/>
              <w:fldChar w:fldCharType="end" w:fldLock="0"/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F29/E29*100-100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20,8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BL (Belluno)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295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332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C30/B30*100-100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12,6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806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912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F30/E30*100-100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13,2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PD (Padova)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1.304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1.701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C31/B31*100-100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30,5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3.665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4.316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F31/E31*100-100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17,8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RO (Rovigo)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451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C32/B32*100-100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16,6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889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1.111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F32/E32*100-100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25,0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TV (Treviso) 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1.376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1.848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C33/B33*100-100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34,3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3.389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4.001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F33/E33*100-100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18,1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VE (Venezia)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1.078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1.307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C34/B34*100-100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21,3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2.839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3.456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F34/E34*100-100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21,7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VR (Verona)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1.288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1.951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C35/B35*100-100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51,4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3.802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4.756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F35/E35*100-100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25,1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VI (Vicenza)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1.436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1.783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C36/B36*100-100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24,1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3.486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4.119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F36/E36*100-100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18,2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VENETO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SUM(B30:B36)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7.164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SUM(C30:C36)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9.373</w:t>
            </w:r>
            <w:r>
              <w:rPr/>
              <w:fldChar w:fldCharType="end" w:fldLock="0"/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C37/B37*100-100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30,8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SUM(E30:E36)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18.876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SUM(F30:F36)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22.672</w:t>
            </w:r>
            <w:r>
              <w:rPr/>
              <w:fldChar w:fldCharType="end" w:fldLock="0"/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F37/E37*100-100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20,1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GO (Gorizia)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279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C38/B38*100-100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12,1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543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650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F38/E38*100-100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19,7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PN (Pordenone)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545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675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C39/B39*100-100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23,8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1.278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1.548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F39/E39*100-100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21,1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TS (Trieste)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282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341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C40/B40*100-100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21,0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753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815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F40/E40*100-100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8,2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UD (Udine)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980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1.207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C41/B41*100-100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23,2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2.192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2.528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F41/E41*100-100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15,3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FRIULI V.G.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SUM(B38:B41)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2.056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SUM(C38:C41)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2.502</w:t>
            </w:r>
            <w:r>
              <w:rPr/>
              <w:fldChar w:fldCharType="end" w:fldLock="0"/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C42/B42*100-100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21,7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SUM(E38:E41)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4.766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SUM(F38:F41)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5.541</w:t>
            </w:r>
            <w:r>
              <w:rPr/>
              <w:fldChar w:fldCharType="end" w:fldLock="0"/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F42/E42*100-100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16,3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GE (Genova)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937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986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C43/B43*100-100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5,2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2.746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2.980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F43/E43*100-100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8,5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IM (Imperia)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270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282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C44/B44*100-100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4,5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789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988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F44/E44*100-100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25,3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SP (La Spezia)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364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C45/B45*100-100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51,8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702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1.005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F45/E45*100-100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43,2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SV (Savona)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358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370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C46/B46*100-100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3,4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1.055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1.226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F46/E46*100-100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16,2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LIGURIA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SUM(B43:B46)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1.805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SUM(C43:C46)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2.003</w:t>
            </w:r>
            <w:r>
              <w:rPr/>
              <w:fldChar w:fldCharType="end" w:fldLock="0"/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C47/B47*100-100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11,0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SUM(E43:E46)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5.292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SUM(F43:F46)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6.199</w:t>
            </w:r>
            <w:r>
              <w:rPr/>
              <w:fldChar w:fldCharType="end" w:fldLock="0"/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F47/E47*100-100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17,1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BO (Bologna)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1.252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1.639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C48/B48*100-100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30,9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3.663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4.112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F48/E48*100-100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12,3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FE (Ferrara)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597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702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C49/B49*100-100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17,5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1.453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1.605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F49/E49*100-100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10,5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FO (Forl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ì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523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640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C50/B50*100-100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22,3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1.533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1.976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F50/E50*100-100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28,9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MO (Modena)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1.017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1.234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C51/B51*100-100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21,3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3.124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3.579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F51/E51*100-100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14,6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PR (Parma)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615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670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C52/B52*100-100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8,9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1.862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2.098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F52/E52*100-100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12,7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PC (Piacenza)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350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437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C53/B53*100-100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25,0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1.216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1.398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F53/E53*100-100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14,9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RA (Ravenna)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625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816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C54/B54*100-100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30,5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1.636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1.919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F54/E54*100-100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17,3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RE (Reggio Emilia)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874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994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C55/B55*100-100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13,7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2.337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2.676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F55/E55*100-100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14,5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RN (Rimini)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408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579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C56/B56*100-100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42,0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1.228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1.408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F56/E56*100-100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14,6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EMILIA ROMAGNA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SUM(B48:B56)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6.261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SUM(C48:C56)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7.710</w:t>
            </w:r>
            <w:r>
              <w:rPr/>
              <w:fldChar w:fldCharType="end" w:fldLock="0"/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C57/B57*100-100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23,2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SUM(E48:E56)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18.052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SUM(F48:F56)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20.772</w:t>
            </w:r>
            <w:r>
              <w:rPr/>
              <w:fldChar w:fldCharType="end" w:fldLock="0"/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F57/E57*100-100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15,1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432ff"/>
                <w:sz w:val="20"/>
                <w:szCs w:val="20"/>
                <w:u w:color="000099"/>
                <w:rtl w:val="0"/>
                <w:lang w:val="it-IT"/>
                <w14:textFill>
                  <w14:solidFill>
                    <w14:srgbClr w14:val="0433FF"/>
                  </w14:solidFill>
                </w14:textFill>
              </w:rPr>
              <w:t>NORD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B57+B47+B42+B37+B29+B26+B13+B11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40.407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C57+C47+C42+C37+C29+C26+C13+C11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78.620</w:t>
            </w:r>
            <w:r>
              <w:rPr/>
              <w:fldChar w:fldCharType="end" w:fldLock="0"/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C58/B58*100-100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94,6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E57+E47+E42+E37+E29+E26+E13+E11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107.869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F57+F47+F42+F37+F29+F26+F13+F11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126.383</w:t>
            </w:r>
            <w:r>
              <w:rPr/>
              <w:fldChar w:fldCharType="end" w:fldLock="0"/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F58/E58*100-100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17,2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AR (Arezzo)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506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660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C59/B59*100-100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30,3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1.499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1.562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F59/E59*100-100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4,2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FI (Firenze)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1.537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2.749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C60/B60*100-100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78,9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3.476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4.070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F60/E60*100-100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17,1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GR (Grosseto)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395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433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C61/B61*100-100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9,7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984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1.131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F61/E61*100-100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15,0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LI (Livorno)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404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555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C62/B62*100-100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37,5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1.204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1.416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F62/E62*100-100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17,6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LU (Lucca)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439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635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C63/B63*100-100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44,5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1.444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1.656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F63/E63*100-100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14,7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MS (Massa Carrara)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288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C64/B64*100-100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58,4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716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858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F64/E64*100-100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19,8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PI (Pisa)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495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705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C65/B65*100-100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42,3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1.629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1.878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F65/E65*100-100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15,3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PT (Pistoia)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462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554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C66/B66*100-100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20,0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1.416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1.535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F66/E66*100-100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8,4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PO (Prato)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281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442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C67/B67*100-100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57,4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930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1.108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F67/E67*100-100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19,2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SI (Siena)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374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489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C68/B68*100-100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30,9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1.087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1.353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F68/E68*100-100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24,4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TOSCANA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SUM(B59:B68)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5.075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SUM(C59:C68)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7.511</w:t>
            </w:r>
            <w:r>
              <w:rPr/>
              <w:fldChar w:fldCharType="end" w:fldLock="0"/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C69/B69*100-100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48,0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SUM(E59:E68)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14.385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SUM(F59:F68)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16.568</w:t>
            </w:r>
            <w:r>
              <w:rPr/>
              <w:fldChar w:fldCharType="end" w:fldLock="0"/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F69/E69*100-100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15,2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PG (Perugia)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1.054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1.326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C70/B70*100-100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25,8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2.810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3.201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F70/E70*100-100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13,9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TR (Terni)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350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429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C71/B71*100-100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22,7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914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1.107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F71/E71*100-100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21,2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UMBRIA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SUM(B70:B71)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1.404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SUM(C70:C71)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1.755</w:t>
            </w:r>
            <w:r>
              <w:rPr/>
              <w:fldChar w:fldCharType="end" w:fldLock="0"/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C72/B72*100-100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25,0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SUM(E70:E71)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3.724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SUM(F70:F71)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4.308</w:t>
            </w:r>
            <w:r>
              <w:rPr/>
              <w:fldChar w:fldCharType="end" w:fldLock="0"/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F72/E72*100-100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15,7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AN (Ancona)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651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777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C73/B73*100-100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19,3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1.778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2.186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F73/E73*100-100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22,9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AP (Ascoli Piceno)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279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C74/B74*100-100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15,4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715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835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F74/E74*100-100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16,8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FM (Fermo)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302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C75/B75*100-100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34,9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616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735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F75/E75*100-100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19,3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MC (Macerata)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404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509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C76/B76*100-100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26,1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1.256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1.426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F76/E76*100-100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13,5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PU (Pesaro e Urbino)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341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471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C77/B77*100-100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38,2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1.186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1.416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F77/E77*100-100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19,4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MARCHE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SUM(B73:B77)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1.862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SUM(C73:C77)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2.339</w:t>
            </w:r>
            <w:r>
              <w:rPr/>
              <w:fldChar w:fldCharType="end" w:fldLock="0"/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C78/B78*100-100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25,6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SUM(E73:E77)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5.551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SUM(F73:F77)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6.597</w:t>
            </w:r>
            <w:r>
              <w:rPr/>
              <w:fldChar w:fldCharType="end" w:fldLock="0"/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F78/E78*100-100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18,8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FR (Frosinone)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774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891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C79/B79*100-100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15,1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2.203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2.459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F79/E79*100-100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11,6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LT (Latina)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786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916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C80/B80*100-100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16,5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2.421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2.705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F80/E80*100-100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11,7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RI (Rieti)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298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315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C81/B81*100-100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5,8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728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780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F81/E81*100-100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7,1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RM (Roma)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6.556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8.302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C82/B82*100-100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26,6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17.417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18.543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F82/E82*100-100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6,5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VT (Viterbo)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587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589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C83/B83*100-100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0,4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1.431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1.645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F83/E83*100-100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15,0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LAZIO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SUM(B79:B83)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9.001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SUM(C79:C83)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11.013</w:t>
            </w:r>
            <w:r>
              <w:rPr/>
              <w:fldChar w:fldCharType="end" w:fldLock="0"/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C84/B84*100-100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22,4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SUM(E79:E83)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24.200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SUM(F79:F83)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26.133</w:t>
            </w:r>
            <w:r>
              <w:rPr/>
              <w:fldChar w:fldCharType="end" w:fldLock="0"/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F84/E84*100-100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8,0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432ff"/>
                <w:sz w:val="20"/>
                <w:szCs w:val="20"/>
                <w:u w:color="000099"/>
                <w:rtl w:val="0"/>
                <w:lang w:val="it-IT"/>
                <w14:textFill>
                  <w14:solidFill>
                    <w14:srgbClr w14:val="0433FF"/>
                  </w14:solidFill>
                </w14:textFill>
              </w:rPr>
              <w:t>CENTRO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B69+B72+B78+B84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17.342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C69+C72+C78+C84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22.619</w:t>
            </w:r>
            <w:r>
              <w:rPr/>
              <w:fldChar w:fldCharType="end" w:fldLock="0"/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C85/B85*100-100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30,4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E69+E72+E78+E84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47.860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F69+F72+F78+F84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53.606</w:t>
            </w:r>
            <w:r>
              <w:rPr/>
              <w:fldChar w:fldCharType="end" w:fldLock="0"/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F85/E85*100-100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12,0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AQ (L'Aquila)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447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586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C86/B86*100-100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31,2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1.236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1.465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F86/E86*100-100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18,5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CH (Chieti)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594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650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C87/B87*100-100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9,4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1.506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1.766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F87/E87*100-100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17,3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PE (Pescara)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549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C88/B88*100-100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21,0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1.124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1.461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F88/E88*100-100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30,0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TE (Teramo)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464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534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C89/B89*100-100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15,2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1.280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1.537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F89/E89*100-100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20,1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ABRUZZO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SUM(B86:B89)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1.959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SUM(C86:C89)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2.320</w:t>
            </w:r>
            <w:r>
              <w:rPr/>
              <w:fldChar w:fldCharType="end" w:fldLock="0"/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C90/B90*100-100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18,4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SUM(E86:E89)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5.146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SUM(F86:F89)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6.229</w:t>
            </w:r>
            <w:r>
              <w:rPr/>
              <w:fldChar w:fldCharType="end" w:fldLock="0"/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F90/E90*100-100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21,0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CB (Campobasso)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395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332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C91/B91*100-100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-15,9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907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1.175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F91/E91*100-100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29,6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IS (Isernia)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141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C92/B92*100-100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5,3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357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418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F92/E92*100-100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17,0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MOLISE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SUM(B91:B92)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529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SUM(C91:C92)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473</w:t>
            </w:r>
            <w:r>
              <w:rPr/>
              <w:fldChar w:fldCharType="end" w:fldLock="0"/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C93/B93*100-100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-10,5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SUM(E91:E92)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1.264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SUM(F91:F92)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1.593</w:t>
            </w:r>
            <w:r>
              <w:rPr/>
              <w:fldChar w:fldCharType="end" w:fldLock="0"/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F93/E93*100-100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26,0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AV (Avellino)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558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600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C94/B94*100-100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7,4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1.577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1.881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F94/E94*100-100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19,3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BN (Benevento)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378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C95/B95*100-100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-11,8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1.107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1.253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F95/E95*100-100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13,1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CE (Caserta)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1.216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1.264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C96/B96*100-100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4,0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3.683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4.471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F96/E96*100-100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21,4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NA (Napoli)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3.593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4.101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C97/B97*100-100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14,2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10.534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12.384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F97/E97*100-100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17,6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SA (Salerno)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1.257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1.507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C98/B98*100-100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19,9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4.113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4.954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F98/E98*100-100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20,5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CAMPANIA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SUM(B94:B98)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7.053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SUM(C94:C98)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7.851</w:t>
            </w:r>
            <w:r>
              <w:rPr/>
              <w:fldChar w:fldCharType="end" w:fldLock="0"/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C99/B99*100-100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11,3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SUM(E94:E98)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21.014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SUM(F94:F98)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24.943</w:t>
            </w:r>
            <w:r>
              <w:rPr/>
              <w:fldChar w:fldCharType="end" w:fldLock="0"/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F99/E99*100-100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18,7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BA (Bari)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1.878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2.174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C100/B100*100-100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15,8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5.109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5.826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F100/E100*100-100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14,0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BT </w:t>
            </w:r>
            <w:r>
              <w:rPr>
                <w:u w:color="011892"/>
                <w:shd w:val="nil" w:color="auto" w:fill="auto"/>
                <w:rtl w:val="0"/>
                <w:lang w:val="it-IT"/>
              </w:rPr>
              <w:t>(Barletta Andria Trani)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488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600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C101/B101*100-100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22,8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1.446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1.795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F101/E101*100-100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24,2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BR (Brindisi)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501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680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C102/B102*100-100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35,6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1.697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2.044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F102/E102*100-100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20,4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FG (Foggia)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797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871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C103/B103*100-100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9,3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2.736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3.129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F103/E103*100-100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14,4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LE (Lecce)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1.495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1.548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C104/B104*100-100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3,6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3.193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3.561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F104/E104*100-100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11,5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TA (Taranto)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726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838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C105/B105*100-100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15,4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2.343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2.565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F105/E105*100-100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9,5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PUGLIA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SUM(B100:B105)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5.885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SUM(C100:C105)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6.710</w:t>
            </w:r>
            <w:r>
              <w:rPr/>
              <w:fldChar w:fldCharType="end" w:fldLock="0"/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C106/B106*100-100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14,0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SUM(E100:E105)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16.524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SUM(F100:F105)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18.921</w:t>
            </w:r>
            <w:r>
              <w:rPr/>
              <w:fldChar w:fldCharType="end" w:fldLock="0"/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F106/E106*100-100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14,5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MT (Matera)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303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C107/B107*100-100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17,5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728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831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F107/E107*100-100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14,2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PZ (Potenza)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558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635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C108/B108*100-100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13,7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1.352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1.661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F108/E108*100-100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22,9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BASILICATA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SUM(B107:B108)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816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SUM(C107:C108)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938</w:t>
            </w:r>
            <w:r>
              <w:rPr/>
              <w:fldChar w:fldCharType="end" w:fldLock="0"/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C109/B109*100-100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14,9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SUM(E107:E108)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2.080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SUM(F107:F108)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2.492</w:t>
            </w:r>
            <w:r>
              <w:rPr/>
              <w:fldChar w:fldCharType="end" w:fldLock="0"/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F109/E109*100-100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19,8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CZ (Catanzaro)    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431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446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C110/B110*100-100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3,6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1.335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1.545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F110/E110*100-100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15,7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CS (Cosenza)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847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810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C111/B111*100-100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-4,4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2.741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3.357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F111/E111*100-100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22,5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KR (Crotone)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145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C112/B112*100-100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-2,6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646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697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F112/E112*100-100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7,9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RC (Reggio Calabria)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528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682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C113/B113*100-100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29,1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1.980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2.391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F113/E113*100-100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20,8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VV (Vibo Valentia)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149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C114/B114*100-100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-7,4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587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692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F114/E114*100-100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17,9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CALABRIA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SUM(B110:B114)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2.116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SUM(C110:C114)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2.232</w:t>
            </w:r>
            <w:r>
              <w:rPr/>
              <w:fldChar w:fldCharType="end" w:fldLock="0"/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C115/B115*100-100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5,5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SUM(E110:E114)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7.289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SUM(F110:F114)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8.682</w:t>
            </w:r>
            <w:r>
              <w:rPr/>
              <w:fldChar w:fldCharType="end" w:fldLock="0"/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F115/E115*100-100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19,1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AG (Agrigento)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616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593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C116/B116*100-100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-3,7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1.538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1.778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F116/E116*100-100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15,6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CL (Caltanissetta)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386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C117/B117*100-100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-0,7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956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1.161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F117/E117*100-100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21,5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CT (Catania)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1.267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1.579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C118/B118*100-100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24,7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4.669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5.337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F118/E118*100-100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14,3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EN (Enna)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232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C119/B119*100-100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19,7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598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692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F119/E119*100-100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15,7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ME (Messina)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697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862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C120/B120*100-100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23,6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2.381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2.539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F120/E120*100-100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6,6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PA (Palermo)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1.388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1.682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C121/B121*100-100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21,2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4.389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4.874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F121/E121*100-100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11,1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RG (Ragusa)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416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510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C122/B122*100-100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22,7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1.319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1.569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F122/E122*100-100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19,0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SR (Siracusa)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584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779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C123/B123*100-100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33,3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1.658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1.858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F123/E123*100-100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12,1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TP (Trapani)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625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705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C124/B124*100-100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12,7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1.835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1.783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F124/E124*100-100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-2,8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SICILIA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SUM(B116:B124)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6.176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SUM(C116:C124)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7.329</w:t>
            </w:r>
            <w:r>
              <w:rPr/>
              <w:fldChar w:fldCharType="end" w:fldLock="0"/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C125/B125*100-100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18,7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SUM(E116:E124)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19.343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SUM(F116:F124)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21.592</w:t>
            </w:r>
            <w:r>
              <w:rPr/>
              <w:fldChar w:fldCharType="end" w:fldLock="0"/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F125/E125*100-100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11,6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CA (Cagliari)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686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709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C126/B126*100-100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3,3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1.830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1.989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F126/E126*100-100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8,7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NU (Nuoro)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324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381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C127/B127*100-100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17,7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972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1.074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F127/E127*100-100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10,5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OR (Oristano)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272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C128/B128*100-100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44,0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685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745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F128/E128*100-100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8,7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SS (Sassari)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772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979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C129/B129*100-100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26,8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2.196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2.470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F129/E129*100-100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12,5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SU (Sud Sardegna)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360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441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C130/B130*100-100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22,6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1.531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1.687</w:t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F130/E130*100-100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10,2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SARDEGNA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SUM(B126:B130)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2.331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SUM(C126:C130)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2.782</w:t>
            </w:r>
            <w:r>
              <w:rPr/>
              <w:fldChar w:fldCharType="end" w:fldLock="0"/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C131/B131*100-100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19,4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SUM(E126:E130)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7.214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SUM(F126:F130)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7.966</w:t>
            </w:r>
            <w:r>
              <w:rPr/>
              <w:fldChar w:fldCharType="end" w:fldLock="0"/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F131/E131*100-100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1100"/>
                  </w14:solidFill>
                </w14:textFill>
              </w:rPr>
              <w:t>10,4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432ff"/>
                <w:sz w:val="20"/>
                <w:szCs w:val="20"/>
                <w:u w:color="000099"/>
                <w:rtl w:val="0"/>
                <w:lang w:val="it-IT"/>
                <w14:textFill>
                  <w14:solidFill>
                    <w14:srgbClr w14:val="0433FF"/>
                  </w14:solidFill>
                </w14:textFill>
              </w:rPr>
              <w:t>SUD E ISOLE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B90+B93+B99+B106+B109+B115+B125+B131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26.865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C90+C93+C99+C106+C109+C115+C125+C131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30.635</w:t>
            </w:r>
            <w:r>
              <w:rPr/>
              <w:fldChar w:fldCharType="end" w:fldLock="0"/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C132/B132*100-100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14,0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E90+E93+E99+E106+E109+E115+E125+E131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79.874</w:t>
            </w:r>
            <w:r>
              <w:rPr/>
              <w:fldChar w:fldCharType="end" w:fldLock="0"/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F90+F93+F99+F106+F109+F115+F125+F131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92.417</w:t>
            </w:r>
            <w:r>
              <w:rPr/>
              <w:fldChar w:fldCharType="end" w:fldLock="0"/>
            </w:r>
          </w:p>
        </w:tc>
        <w:tc>
          <w:tcPr>
            <w:tcW w:type="dxa" w:w="11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F132/E132*100-100 \# "0" \* MERGEFORMAT</w:instrText>
            </w:r>
            <w:r>
              <w:rPr/>
              <w:fldChar w:fldCharType="separate" w:fldLock="0"/>
            </w:r>
            <w:r>
              <w:rPr>
                <w:rFonts w:ascii="Aptos" w:cs="Aptos" w:hAnsi="Aptos" w:eastAsia="Apto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15,7</w:t>
            </w:r>
            <w:r>
              <w:rPr/>
              <w:fldChar w:fldCharType="end" w:fldLock="0"/>
            </w:r>
          </w:p>
        </w:tc>
      </w:tr>
    </w:tbl>
    <w:p>
      <w:pPr>
        <w:pStyle w:val="Normal.0"/>
        <w:widowControl w:val="0"/>
        <w:ind w:left="595" w:hanging="595"/>
        <w:rPr>
          <w:outline w:val="0"/>
          <w:color w:val="800000"/>
          <w:sz w:val="12"/>
          <w:szCs w:val="12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widowControl w:val="0"/>
        <w:ind w:left="55" w:hanging="55"/>
        <w:rPr>
          <w:outline w:val="0"/>
          <w:color w:val="800000"/>
          <w:sz w:val="6"/>
          <w:szCs w:val="6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jc w:val="left"/>
      </w:pPr>
      <w:r>
        <w:rPr>
          <w:rtl w:val="0"/>
          <w:lang w:val="it-IT"/>
        </w:rPr>
        <w:t xml:space="preserve">        </w:t>
      </w:r>
      <w:r>
        <w:rPr>
          <w:i w:val="1"/>
          <w:iCs w:val="1"/>
          <w:rtl w:val="0"/>
          <w:lang w:val="it-IT"/>
        </w:rPr>
        <w:t xml:space="preserve">Fonte: ACI </w:t>
      </w:r>
      <w:r>
        <w:rPr>
          <w:i w:val="1"/>
          <w:iCs w:val="1"/>
          <w:rtl w:val="0"/>
          <w:lang w:val="it-IT"/>
        </w:rPr>
        <w:t xml:space="preserve">– </w:t>
      </w:r>
      <w:r>
        <w:rPr>
          <w:i w:val="1"/>
          <w:iCs w:val="1"/>
          <w:rtl w:val="0"/>
          <w:lang w:val="it-IT"/>
        </w:rPr>
        <w:t>Automobile Club d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Italia</w:t>
      </w:r>
    </w:p>
    <w:sectPr>
      <w:headerReference w:type="default" r:id="rId5"/>
      <w:footerReference w:type="default" r:id="rId6"/>
      <w:pgSz w:w="11900" w:h="16840" w:orient="portrait"/>
      <w:pgMar w:top="539" w:right="926" w:bottom="851" w:left="1080" w:header="708" w:footer="29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Apto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pBdr>
        <w:top w:val="single" w:color="000000" w:sz="4" w:space="0" w:shadow="0" w:frame="0"/>
        <w:left w:val="nil"/>
        <w:bottom w:val="nil"/>
        <w:right w:val="nil"/>
      </w:pBdr>
      <w:rPr>
        <w:b w:val="1"/>
        <w:bCs w:val="1"/>
        <w:sz w:val="16"/>
        <w:szCs w:val="16"/>
      </w:rPr>
    </w:pPr>
    <w:r>
      <w:rPr>
        <w:b w:val="1"/>
        <w:bCs w:val="1"/>
        <w:sz w:val="16"/>
        <w:szCs w:val="16"/>
        <w:rtl w:val="0"/>
        <w:lang w:val="it-IT"/>
      </w:rPr>
      <w:t xml:space="preserve">ACI </w:t>
    </w:r>
    <w:r>
      <w:rPr>
        <w:b w:val="1"/>
        <w:bCs w:val="1"/>
        <w:sz w:val="16"/>
        <w:szCs w:val="16"/>
        <w:rtl w:val="0"/>
        <w:lang w:val="it-IT"/>
      </w:rPr>
      <w:t xml:space="preserve">– </w:t>
    </w:r>
    <w:r>
      <w:rPr>
        <w:b w:val="1"/>
        <w:bCs w:val="1"/>
        <w:sz w:val="16"/>
        <w:szCs w:val="16"/>
        <w:rtl w:val="0"/>
        <w:lang w:val="it-IT"/>
      </w:rPr>
      <w:t>AUTOMOBILE CLUB D</w:t>
    </w:r>
    <w:r>
      <w:rPr>
        <w:b w:val="1"/>
        <w:bCs w:val="1"/>
        <w:sz w:val="16"/>
        <w:szCs w:val="16"/>
        <w:rtl w:val="0"/>
        <w:lang w:val="it-IT"/>
      </w:rPr>
      <w:t>’</w:t>
    </w:r>
    <w:r>
      <w:rPr>
        <w:b w:val="1"/>
        <w:bCs w:val="1"/>
        <w:sz w:val="16"/>
        <w:szCs w:val="16"/>
        <w:rtl w:val="0"/>
        <w:lang w:val="it-IT"/>
      </w:rPr>
      <w:t>ITALIA</w:t>
    </w:r>
  </w:p>
  <w:p>
    <w:pPr>
      <w:pStyle w:val="footer"/>
      <w:rPr>
        <w:i w:val="1"/>
        <w:iCs w:val="1"/>
        <w:sz w:val="16"/>
        <w:szCs w:val="16"/>
      </w:rPr>
    </w:pPr>
    <w:r>
      <w:rPr>
        <w:i w:val="1"/>
        <w:iCs w:val="1"/>
        <w:sz w:val="16"/>
        <w:szCs w:val="16"/>
        <w:rtl w:val="0"/>
        <w:lang w:val="it-IT"/>
      </w:rPr>
      <w:t>Ufficio Stampa</w:t>
    </w:r>
  </w:p>
  <w:p>
    <w:pPr>
      <w:pStyle w:val="footer"/>
    </w:pPr>
    <w:r>
      <w:rPr>
        <w:sz w:val="16"/>
        <w:szCs w:val="16"/>
        <w:rtl w:val="0"/>
        <w:lang w:val="de-DE"/>
      </w:rPr>
      <w:t>ufficio.stampa@aci.it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11892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11892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Cambria" w:cs="Arial Unicode MS" w:hAnsi="Cambri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11892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it-IT"/>
      <w14:textFill>
        <w14:solidFill>
          <w14:srgbClr w14:val="011892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