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jc w:val="center"/>
        <w:rPr>
          <w:rFonts w:ascii="Jost" w:cs="Jost" w:eastAsia="Jost" w:hAnsi="Jost"/>
          <w:b w:val="1"/>
          <w:color w:val="2d99ae"/>
          <w:sz w:val="21"/>
          <w:szCs w:val="21"/>
        </w:rPr>
      </w:pPr>
      <w:r w:rsidDel="00000000" w:rsidR="00000000" w:rsidRPr="00000000">
        <w:rPr>
          <w:rFonts w:ascii="Jost" w:cs="Jost" w:eastAsia="Jost" w:hAnsi="Jost"/>
          <w:b w:val="1"/>
          <w:color w:val="2d99ae"/>
          <w:rtl w:val="0"/>
        </w:rPr>
        <w:t xml:space="preserve">PLC Programmer, Ingegneri dell’Automazione e Ingegneri Energetici cercasi: così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color w:val="2d99ae"/>
          <w:sz w:val="21"/>
          <w:szCs w:val="21"/>
          <w:rtl w:val="0"/>
        </w:rPr>
        <w:t xml:space="preserve">Ingenn</w:t>
      </w:r>
      <w:r w:rsidDel="00000000" w:rsidR="00000000" w:rsidRPr="00000000">
        <w:rPr>
          <w:rFonts w:ascii="Jost" w:cs="Jost" w:eastAsia="Jost" w:hAnsi="Jost"/>
          <w:b w:val="1"/>
          <w:color w:val="2d99ae"/>
          <w:sz w:val="21"/>
          <w:szCs w:val="21"/>
          <w:rtl w:val="0"/>
        </w:rPr>
        <w:t xml:space="preserve"> chiude il 2023 con oltre 2 milioni di euro di fatturato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rFonts w:ascii="Jost" w:cs="Jost" w:eastAsia="Jost" w:hAnsi="Jost"/>
          <w:b w:val="1"/>
          <w:color w:val="2d99a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Jost Medium" w:cs="Jost Medium" w:eastAsia="Jost Medium" w:hAnsi="Jost Medium"/>
          <w:i w:val="1"/>
          <w:color w:val="001c44"/>
          <w:sz w:val="21"/>
          <w:szCs w:val="21"/>
        </w:rPr>
      </w:pPr>
      <w:hyperlink r:id="rId6">
        <w:r w:rsidDel="00000000" w:rsidR="00000000" w:rsidRPr="00000000">
          <w:rPr>
            <w:rFonts w:ascii="Jost Medium" w:cs="Jost Medium" w:eastAsia="Jost Medium" w:hAnsi="Jost Medium"/>
            <w:i w:val="1"/>
            <w:color w:val="1155cc"/>
            <w:sz w:val="21"/>
            <w:szCs w:val="21"/>
            <w:u w:val="single"/>
            <w:rtl w:val="0"/>
          </w:rPr>
          <w:t xml:space="preserve">Ingenn</w:t>
        </w:r>
      </w:hyperlink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 la società di Head Hunting unicamente focalizzata nella ricerca e selezione di profili tecnici e ingegneri, </w:t>
      </w:r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conclude con successo il suo secondo anno di attività:</w:t>
      </w:r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nel 2023 </w:t>
      </w:r>
      <w:r w:rsidDel="00000000" w:rsidR="00000000" w:rsidRPr="00000000">
        <w:rPr>
          <w:rFonts w:ascii="Jost Medium" w:cs="Jost Medium" w:eastAsia="Jost Medium" w:hAnsi="Jost Medium"/>
          <w:i w:val="1"/>
          <w:color w:val="001c44"/>
          <w:sz w:val="21"/>
          <w:szCs w:val="21"/>
          <w:rtl w:val="0"/>
        </w:rPr>
        <w:t xml:space="preserve">supera i 2 milioni di euro di fatturato e registra un +37% di ricerche.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Jost Medium" w:cs="Jost Medium" w:eastAsia="Jost Medium" w:hAnsi="Jost Medium"/>
          <w:i w:val="1"/>
          <w:color w:val="001c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Jost Medium" w:cs="Jost Medium" w:eastAsia="Jost Medium" w:hAnsi="Jost Medium"/>
          <w:i w:val="1"/>
          <w:color w:val="2d99ae"/>
        </w:rPr>
      </w:pPr>
      <w:r w:rsidDel="00000000" w:rsidR="00000000" w:rsidRPr="00000000">
        <w:rPr>
          <w:rFonts w:ascii="Jost Medium" w:cs="Jost Medium" w:eastAsia="Jost Medium" w:hAnsi="Jost Medium"/>
          <w:i w:val="1"/>
          <w:color w:val="2d99ae"/>
          <w:rtl w:val="0"/>
        </w:rPr>
        <w:t xml:space="preserve">Risultati importanti in un contesto economico sfidante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Jost" w:cs="Jost" w:eastAsia="Jost" w:hAnsi="Jost"/>
          <w:b w:val="1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Nonostante il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contesto economico sfidante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,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caratterizzato dalla crisi energetica e da un'incidenza dell'inflazione pari al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5,7%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sul territorio nazionale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,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Ingenn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- la società di Head Hunting unicamente focalizzata nella ricerca e selezione di profili tecnici e ingegneri -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continua a crescere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e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chiude il suo secondo anno di attività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con un fatturato di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oltre 2 milioni di euro.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La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consolidata posizione della società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come Head Hunter di riferimento nel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settore manifatturiero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e una continua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crescita della domanda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di profili tecnici e ingegneri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hanno contribuito in maniera significativa al raggiungimento di tali risultati.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Rispetto all’anno precedente,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nel 2023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la società ha registrato un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incremento del numero di ricerche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del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37%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.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P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LC Programmer,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Ingegneri dell’Automazione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e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Ingegneri Energetici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sono state tra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le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figure professionali più richieste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, a conferma del trend nazionale che ha visto per tutto l’anno i professionisti del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settore dell’automazione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e di quello del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fotovoltaico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tra i più ricercati.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 Medium" w:cs="Jost Medium" w:eastAsia="Jost Medium" w:hAnsi="Jost Medium"/>
          <w:i w:val="1"/>
          <w:color w:val="2d99ae"/>
          <w:rtl w:val="0"/>
        </w:rPr>
        <w:t xml:space="preserve">Ingenn nel 2024: investimento in risorse e strategie di crescita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Con il raggiungimento di questi importanti obiettivi,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Ingenn continua a rafforzare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la pr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opria posizione come Head Hunter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di riferimento per il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comparto manifatturiero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 e della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produzione industriale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“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Siamo molto soddisfatti dei traguardi raggiunti quest’anno. Questi risultati sono il frutto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delle nostre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strategie aziendali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della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professionalità del nostro team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e del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l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a nostra determinazione nel continuare a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soddisfare le crescenti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e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sempre più complesse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richieste del mercato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.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” 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racconta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 Umberto Petri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, Executive Director di </w:t>
      </w:r>
      <w:r w:rsidDel="00000000" w:rsidR="00000000" w:rsidRPr="00000000">
        <w:rPr>
          <w:rFonts w:ascii="Jost" w:cs="Jost" w:eastAsia="Jost" w:hAnsi="Jost"/>
          <w:b w:val="1"/>
          <w:color w:val="001c44"/>
          <w:rtl w:val="0"/>
        </w:rPr>
        <w:t xml:space="preserve">Ingenn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Jost" w:cs="Jost" w:eastAsia="Jost" w:hAnsi="Jost"/>
          <w:color w:val="001c44"/>
        </w:rPr>
      </w:pP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“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Per il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2024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 ci impegneremo a consolidare ulteriormente la nostra posizione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in un contesto sempre più specializzato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concentrando gli sforzi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soprattutto 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nei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settori in cui la richiesta di figure tecniche è in continua crescita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come il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settore dell'automazione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 della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robotica 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e 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quelli a supporto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della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 transizione green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. 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Punteremo a seguire i trend in crescita e a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 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investire in capitale umano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 in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 strategie innovative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 e in</w:t>
      </w:r>
      <w:r w:rsidDel="00000000" w:rsidR="00000000" w:rsidRPr="00000000">
        <w:rPr>
          <w:rFonts w:ascii="Jost" w:cs="Jost" w:eastAsia="Jost" w:hAnsi="Jost"/>
          <w:b w:val="1"/>
          <w:i w:val="1"/>
          <w:color w:val="001c44"/>
          <w:rtl w:val="0"/>
        </w:rPr>
        <w:t xml:space="preserve"> nuove risorse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, elementi determinanti per il nostro posizionamento in questo mercato in continua evoluzion</w:t>
      </w:r>
      <w:r w:rsidDel="00000000" w:rsidR="00000000" w:rsidRPr="00000000">
        <w:rPr>
          <w:rFonts w:ascii="Jost" w:cs="Jost" w:eastAsia="Jost" w:hAnsi="Jost"/>
          <w:i w:val="1"/>
          <w:color w:val="001c44"/>
          <w:rtl w:val="0"/>
        </w:rPr>
        <w:t xml:space="preserve">e.</w:t>
      </w:r>
      <w:r w:rsidDel="00000000" w:rsidR="00000000" w:rsidRPr="00000000">
        <w:rPr>
          <w:rFonts w:ascii="Jost" w:cs="Jost" w:eastAsia="Jost" w:hAnsi="Jost"/>
          <w:color w:val="001c44"/>
          <w:rtl w:val="0"/>
        </w:rPr>
        <w:t xml:space="preserve">”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40" w:lineRule="auto"/>
      <w:rPr>
        <w:rFonts w:ascii="Jost" w:cs="Jost" w:eastAsia="Jost" w:hAnsi="Jost"/>
        <w:b w:val="1"/>
        <w:color w:val="001c44"/>
        <w:sz w:val="18"/>
        <w:szCs w:val="18"/>
      </w:rPr>
    </w:pPr>
    <w:r w:rsidDel="00000000" w:rsidR="00000000" w:rsidRPr="00000000">
      <w:rPr>
        <w:rFonts w:ascii="Jost" w:cs="Jost" w:eastAsia="Jost" w:hAnsi="Jost"/>
        <w:b w:val="1"/>
        <w:color w:val="001c44"/>
        <w:sz w:val="18"/>
        <w:szCs w:val="18"/>
        <w:rtl w:val="0"/>
      </w:rPr>
      <w:t xml:space="preserve">Louie Mae Bilog</w:t>
    </w:r>
  </w:p>
  <w:p w:rsidR="00000000" w:rsidDel="00000000" w:rsidP="00000000" w:rsidRDefault="00000000" w:rsidRPr="00000000" w14:paraId="0000000F">
    <w:pPr>
      <w:spacing w:line="240" w:lineRule="auto"/>
      <w:rPr>
        <w:rFonts w:ascii="Jost" w:cs="Jost" w:eastAsia="Jost" w:hAnsi="Jost"/>
        <w:b w:val="1"/>
        <w:color w:val="001c44"/>
        <w:sz w:val="18"/>
        <w:szCs w:val="18"/>
      </w:rPr>
    </w:pPr>
    <w:hyperlink r:id="rId1">
      <w:r w:rsidDel="00000000" w:rsidR="00000000" w:rsidRPr="00000000">
        <w:rPr>
          <w:rFonts w:ascii="Jost" w:cs="Jost" w:eastAsia="Jost" w:hAnsi="Jost"/>
          <w:b w:val="1"/>
          <w:color w:val="001c44"/>
          <w:sz w:val="18"/>
          <w:szCs w:val="18"/>
          <w:rtl w:val="0"/>
        </w:rPr>
        <w:t xml:space="preserve">press@ingenn.it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line="240" w:lineRule="auto"/>
      <w:rPr>
        <w:rFonts w:ascii="Jost" w:cs="Jost" w:eastAsia="Jost" w:hAnsi="Jost"/>
        <w:b w:val="1"/>
        <w:color w:val="001c44"/>
        <w:sz w:val="18"/>
        <w:szCs w:val="18"/>
        <w:highlight w:val="white"/>
      </w:rPr>
    </w:pPr>
    <w:r w:rsidDel="00000000" w:rsidR="00000000" w:rsidRPr="00000000">
      <w:rPr>
        <w:rFonts w:ascii="Jost" w:cs="Jost" w:eastAsia="Jost" w:hAnsi="Jost"/>
        <w:b w:val="1"/>
        <w:color w:val="001c44"/>
        <w:sz w:val="18"/>
        <w:szCs w:val="18"/>
        <w:highlight w:val="white"/>
        <w:rtl w:val="0"/>
      </w:rPr>
      <w:t xml:space="preserve">+39 348 68 18 022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4243388</wp:posOffset>
          </wp:positionH>
          <wp:positionV relativeFrom="paragraph">
            <wp:posOffset>747713</wp:posOffset>
          </wp:positionV>
          <wp:extent cx="1559429" cy="76676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9429" cy="7667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20675" cy="49058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449" l="0" r="-4321" t="2449"/>
                  <a:stretch>
                    <a:fillRect/>
                  </a:stretch>
                </pic:blipFill>
                <pic:spPr>
                  <a:xfrm>
                    <a:off x="0" y="0"/>
                    <a:ext cx="1620675" cy="4905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ingenn.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t-regular.ttf"/><Relationship Id="rId2" Type="http://schemas.openxmlformats.org/officeDocument/2006/relationships/font" Target="fonts/Jost-bold.ttf"/><Relationship Id="rId3" Type="http://schemas.openxmlformats.org/officeDocument/2006/relationships/font" Target="fonts/Jost-italic.ttf"/><Relationship Id="rId4" Type="http://schemas.openxmlformats.org/officeDocument/2006/relationships/font" Target="fonts/Jost-boldItalic.ttf"/><Relationship Id="rId5" Type="http://schemas.openxmlformats.org/officeDocument/2006/relationships/font" Target="fonts/JostMedium-regular.ttf"/><Relationship Id="rId6" Type="http://schemas.openxmlformats.org/officeDocument/2006/relationships/font" Target="fonts/JostMedium-bold.ttf"/><Relationship Id="rId7" Type="http://schemas.openxmlformats.org/officeDocument/2006/relationships/font" Target="fonts/JostMedium-italic.ttf"/><Relationship Id="rId8" Type="http://schemas.openxmlformats.org/officeDocument/2006/relationships/font" Target="fonts/Jos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@ingenn.it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