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9FD2D" w14:textId="5061FD9A" w:rsidR="00956D7A" w:rsidRDefault="00956D7A" w:rsidP="00956D7A">
      <w:pPr>
        <w:spacing w:after="0" w:line="264" w:lineRule="auto"/>
        <w:rPr>
          <w:rFonts w:ascii="Calibri" w:eastAsia="DengXian" w:hAnsi="Calibri" w:cs="Calibri"/>
          <w:b/>
          <w:bCs/>
          <w:lang w:eastAsia="zh-CN"/>
        </w:rPr>
      </w:pPr>
      <w:r w:rsidRPr="00956D7A">
        <w:rPr>
          <w:rFonts w:ascii="Calibri" w:eastAsia="DengXian" w:hAnsi="Calibri" w:cs="Calibri"/>
          <w:b/>
          <w:bCs/>
          <w:lang w:eastAsia="zh-CN"/>
        </w:rPr>
        <w:t>T. Rowe Price</w:t>
      </w:r>
      <w:r w:rsidR="005F0A25">
        <w:rPr>
          <w:rFonts w:ascii="Calibri" w:eastAsia="DengXian" w:hAnsi="Calibri" w:cs="Calibri"/>
          <w:b/>
          <w:bCs/>
          <w:lang w:eastAsia="zh-CN"/>
        </w:rPr>
        <w:t xml:space="preserve"> </w:t>
      </w:r>
      <w:r w:rsidR="007C55E5">
        <w:rPr>
          <w:rFonts w:ascii="Calibri" w:eastAsia="DengXian" w:hAnsi="Calibri" w:cs="Calibri"/>
          <w:b/>
          <w:bCs/>
          <w:lang w:eastAsia="zh-CN"/>
        </w:rPr>
        <w:t>–</w:t>
      </w:r>
      <w:r w:rsidR="005F0A25">
        <w:rPr>
          <w:rFonts w:ascii="Calibri" w:eastAsia="DengXian" w:hAnsi="Calibri" w:cs="Calibri"/>
          <w:b/>
          <w:bCs/>
          <w:lang w:eastAsia="zh-CN"/>
        </w:rPr>
        <w:t xml:space="preserve"> </w:t>
      </w:r>
      <w:r w:rsidR="007C55E5">
        <w:rPr>
          <w:rFonts w:ascii="Calibri" w:eastAsia="DengXian" w:hAnsi="Calibri" w:cs="Calibri"/>
          <w:b/>
          <w:bCs/>
          <w:lang w:eastAsia="zh-CN"/>
        </w:rPr>
        <w:t xml:space="preserve">Azioni </w:t>
      </w:r>
      <w:r w:rsidR="009C6C74">
        <w:rPr>
          <w:rFonts w:ascii="Calibri" w:eastAsia="DengXian" w:hAnsi="Calibri" w:cs="Calibri"/>
          <w:b/>
          <w:bCs/>
          <w:lang w:eastAsia="zh-CN"/>
        </w:rPr>
        <w:t>energia</w:t>
      </w:r>
      <w:r w:rsidR="007C55E5">
        <w:rPr>
          <w:rFonts w:ascii="Calibri" w:eastAsia="DengXian" w:hAnsi="Calibri" w:cs="Calibri"/>
          <w:b/>
          <w:bCs/>
          <w:lang w:eastAsia="zh-CN"/>
        </w:rPr>
        <w:t>: ecco c</w:t>
      </w:r>
      <w:r w:rsidRPr="00956D7A">
        <w:rPr>
          <w:rFonts w:ascii="Calibri" w:eastAsia="DengXian" w:hAnsi="Calibri" w:cs="Calibri"/>
          <w:b/>
          <w:bCs/>
          <w:lang w:eastAsia="zh-CN"/>
        </w:rPr>
        <w:t>ome</w:t>
      </w:r>
      <w:r w:rsidR="007C55E5">
        <w:rPr>
          <w:rFonts w:ascii="Calibri" w:eastAsia="DengXian" w:hAnsi="Calibri" w:cs="Calibri"/>
          <w:b/>
          <w:bCs/>
          <w:lang w:eastAsia="zh-CN"/>
        </w:rPr>
        <w:t xml:space="preserve"> </w:t>
      </w:r>
      <w:r w:rsidRPr="00956D7A">
        <w:rPr>
          <w:rFonts w:ascii="Calibri" w:eastAsia="DengXian" w:hAnsi="Calibri" w:cs="Calibri"/>
          <w:b/>
          <w:bCs/>
          <w:lang w:eastAsia="zh-CN"/>
        </w:rPr>
        <w:t>protegge</w:t>
      </w:r>
      <w:r>
        <w:rPr>
          <w:rFonts w:ascii="Calibri" w:eastAsia="DengXian" w:hAnsi="Calibri" w:cs="Calibri"/>
          <w:b/>
          <w:bCs/>
          <w:lang w:eastAsia="zh-CN"/>
        </w:rPr>
        <w:t>rsi dal rischio di inflazione</w:t>
      </w:r>
    </w:p>
    <w:p w14:paraId="60AE7621" w14:textId="7309009A" w:rsidR="00956D7A" w:rsidRDefault="007C55E5" w:rsidP="00956D7A">
      <w:pPr>
        <w:spacing w:after="0" w:line="264" w:lineRule="auto"/>
        <w:rPr>
          <w:rFonts w:ascii="Calibri" w:eastAsia="DengXian" w:hAnsi="Calibri" w:cs="Calibri"/>
          <w:lang w:eastAsia="zh-CN"/>
        </w:rPr>
      </w:pPr>
      <w:r>
        <w:rPr>
          <w:rFonts w:ascii="Calibri" w:eastAsia="DengXian" w:hAnsi="Calibri" w:cs="Calibri"/>
          <w:lang w:eastAsia="zh-CN"/>
        </w:rPr>
        <w:br/>
      </w:r>
      <w:r w:rsidR="00956D7A">
        <w:rPr>
          <w:rFonts w:ascii="Calibri" w:eastAsia="DengXian" w:hAnsi="Calibri" w:cs="Calibri"/>
          <w:lang w:eastAsia="zh-CN"/>
        </w:rPr>
        <w:t xml:space="preserve">A cura di </w:t>
      </w:r>
      <w:r w:rsidR="00956D7A" w:rsidRPr="00956D7A">
        <w:rPr>
          <w:rFonts w:ascii="Calibri" w:eastAsia="DengXian" w:hAnsi="Calibri" w:cs="Calibri"/>
          <w:b/>
          <w:bCs/>
          <w:lang w:eastAsia="zh-CN"/>
        </w:rPr>
        <w:t xml:space="preserve">Tim Murray, CFA, Capital Markets Strategist Multi-Asset </w:t>
      </w:r>
      <w:proofErr w:type="spellStart"/>
      <w:r w:rsidR="00956D7A" w:rsidRPr="00956D7A">
        <w:rPr>
          <w:rFonts w:ascii="Calibri" w:eastAsia="DengXian" w:hAnsi="Calibri" w:cs="Calibri"/>
          <w:b/>
          <w:bCs/>
          <w:lang w:eastAsia="zh-CN"/>
        </w:rPr>
        <w:t>Division</w:t>
      </w:r>
      <w:proofErr w:type="spellEnd"/>
      <w:r w:rsidR="00956D7A" w:rsidRPr="00956D7A">
        <w:rPr>
          <w:rFonts w:ascii="Calibri" w:eastAsia="DengXian" w:hAnsi="Calibri" w:cs="Calibri"/>
          <w:b/>
          <w:bCs/>
          <w:lang w:eastAsia="zh-CN"/>
        </w:rPr>
        <w:t>, T. Rowe Price</w:t>
      </w:r>
    </w:p>
    <w:p w14:paraId="41FF59DE" w14:textId="77777777" w:rsidR="00956D7A" w:rsidRPr="00956D7A" w:rsidRDefault="00956D7A" w:rsidP="00956D7A">
      <w:pPr>
        <w:spacing w:after="0" w:line="264" w:lineRule="auto"/>
        <w:rPr>
          <w:rFonts w:ascii="Calibri" w:eastAsia="DengXian" w:hAnsi="Calibri" w:cs="Calibri"/>
          <w:lang w:eastAsia="zh-CN"/>
        </w:rPr>
      </w:pPr>
    </w:p>
    <w:p w14:paraId="097EFA51" w14:textId="53DA503C" w:rsidR="00956D7A" w:rsidRPr="00956D7A" w:rsidRDefault="005F0A25" w:rsidP="00956D7A">
      <w:pPr>
        <w:widowControl w:val="0"/>
        <w:autoSpaceDE w:val="0"/>
        <w:autoSpaceDN w:val="0"/>
        <w:spacing w:after="0" w:line="264" w:lineRule="auto"/>
        <w:outlineLvl w:val="1"/>
        <w:rPr>
          <w:rFonts w:ascii="Calibri" w:eastAsia="DengXian" w:hAnsi="Calibri" w:cs="Calibri"/>
          <w:kern w:val="0"/>
          <w:lang w:eastAsia="zh-CN"/>
          <w14:ligatures w14:val="none"/>
        </w:rPr>
      </w:pPr>
      <w:r>
        <w:rPr>
          <w:rFonts w:ascii="Calibri" w:eastAsia="Yu Gothic UI" w:hAnsi="Calibri" w:cs="Calibri"/>
          <w:kern w:val="0"/>
          <w14:ligatures w14:val="none"/>
        </w:rPr>
        <w:t>Di recente i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rischi sono mutati</w:t>
      </w:r>
      <w:r w:rsidR="007F17EC">
        <w:rPr>
          <w:rFonts w:ascii="Calibri" w:eastAsia="Yu Gothic UI" w:hAnsi="Calibri" w:cs="Calibri"/>
          <w:kern w:val="0"/>
          <w14:ligatures w14:val="none"/>
        </w:rPr>
        <w:t xml:space="preserve">: </w:t>
      </w:r>
      <w:r w:rsidR="007F17EC" w:rsidRPr="005F0A25">
        <w:rPr>
          <w:rFonts w:ascii="Calibri" w:eastAsia="Yu Gothic UI" w:hAnsi="Calibri" w:cs="Calibri"/>
          <w:b/>
          <w:bCs/>
          <w:kern w:val="0"/>
          <w14:ligatures w14:val="none"/>
        </w:rPr>
        <w:t>i</w:t>
      </w:r>
      <w:r w:rsidR="00956D7A" w:rsidRPr="00956D7A">
        <w:rPr>
          <w:rFonts w:ascii="Calibri" w:eastAsia="Yu Gothic UI" w:hAnsi="Calibri" w:cs="Calibri"/>
          <w:b/>
          <w:bCs/>
          <w:kern w:val="0"/>
          <w14:ligatures w14:val="none"/>
        </w:rPr>
        <w:t xml:space="preserve"> timori di recessione si stanno affievolendo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e gli economisti prevedono attualmente una crescita robusta, pari al 2,1% per il </w:t>
      </w:r>
      <w:r w:rsidR="007F17EC">
        <w:rPr>
          <w:rFonts w:ascii="Calibri" w:eastAsia="Yu Gothic UI" w:hAnsi="Calibri" w:cs="Calibri"/>
          <w:kern w:val="0"/>
          <w14:ligatures w14:val="none"/>
        </w:rPr>
        <w:t>Pil degli Stati Uniti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nel 2024. </w:t>
      </w:r>
      <w:r w:rsidR="00956D7A"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Tuttavia, </w:t>
      </w:r>
      <w:r w:rsidR="00956D7A" w:rsidRPr="00956D7A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 xml:space="preserve">sono riemerse le preoccupazioni </w:t>
      </w:r>
      <w:r w:rsidR="007F17EC" w:rsidRPr="005F0A25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>riguardo</w:t>
      </w:r>
      <w:r w:rsidR="00956D7A" w:rsidRPr="00956D7A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 xml:space="preserve"> all'inflazione</w:t>
      </w:r>
      <w:r w:rsidR="00956D7A" w:rsidRPr="00956D7A">
        <w:rPr>
          <w:rFonts w:ascii="Calibri" w:eastAsia="DengXian" w:hAnsi="Calibri" w:cs="Calibri"/>
          <w:kern w:val="0"/>
          <w:lang w:eastAsia="zh-CN"/>
          <w14:ligatures w14:val="none"/>
        </w:rPr>
        <w:t>. Le aspettative per l'indice dei prezzi al consumo (IPC) degli Stati Uniti sono cresciute costantemente, passando dal 2,2%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956D7A" w:rsidRPr="00956D7A">
        <w:rPr>
          <w:rFonts w:ascii="Calibri" w:eastAsia="DengXian" w:hAnsi="Calibri" w:cs="Calibri"/>
          <w:kern w:val="0"/>
          <w:lang w:eastAsia="zh-CN"/>
          <w14:ligatures w14:val="none"/>
        </w:rPr>
        <w:t>— un livello che sarebbe stato in linea co</w:t>
      </w:r>
      <w:r>
        <w:rPr>
          <w:rFonts w:ascii="Calibri" w:eastAsia="DengXian" w:hAnsi="Calibri" w:cs="Calibri"/>
          <w:kern w:val="0"/>
          <w:lang w:eastAsia="zh-CN"/>
          <w14:ligatures w14:val="none"/>
        </w:rPr>
        <w:t>n il</w:t>
      </w:r>
      <w:r w:rsidR="00956D7A"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 target della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956D7A"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Fed — al 2,8% </w:t>
      </w:r>
      <w:r>
        <w:rPr>
          <w:rFonts w:ascii="Calibri" w:eastAsia="DengXian" w:hAnsi="Calibri" w:cs="Calibri"/>
          <w:kern w:val="0"/>
          <w:lang w:eastAsia="zh-CN"/>
          <w14:ligatures w14:val="none"/>
        </w:rPr>
        <w:t>de</w:t>
      </w:r>
      <w:r w:rsidR="00956D7A" w:rsidRPr="00956D7A">
        <w:rPr>
          <w:rFonts w:ascii="Calibri" w:eastAsia="DengXian" w:hAnsi="Calibri" w:cs="Calibri"/>
          <w:kern w:val="0"/>
          <w:lang w:eastAsia="zh-CN"/>
          <w14:ligatures w14:val="none"/>
        </w:rPr>
        <w:t>l 22 marzo 2024.</w:t>
      </w:r>
    </w:p>
    <w:p w14:paraId="6755A634" w14:textId="77777777" w:rsidR="00956D7A" w:rsidRPr="00956D7A" w:rsidRDefault="00956D7A" w:rsidP="00956D7A">
      <w:pPr>
        <w:widowControl w:val="0"/>
        <w:autoSpaceDE w:val="0"/>
        <w:autoSpaceDN w:val="0"/>
        <w:spacing w:after="0" w:line="264" w:lineRule="auto"/>
        <w:outlineLvl w:val="1"/>
        <w:rPr>
          <w:rFonts w:ascii="Calibri" w:eastAsia="DengXian" w:hAnsi="Calibri" w:cs="Calibri"/>
          <w:kern w:val="0"/>
          <w:lang w:eastAsia="zh-CN"/>
          <w14:ligatures w14:val="none"/>
        </w:rPr>
      </w:pPr>
    </w:p>
    <w:p w14:paraId="5BD5FC3F" w14:textId="0297C049" w:rsidR="00956D7A" w:rsidRDefault="00956D7A" w:rsidP="00956D7A">
      <w:pPr>
        <w:spacing w:after="0" w:line="264" w:lineRule="auto"/>
        <w:rPr>
          <w:rFonts w:ascii="Calibri" w:eastAsia="DengXian" w:hAnsi="Calibri" w:cs="Calibri"/>
          <w:kern w:val="0"/>
          <w:lang w:eastAsia="zh-CN"/>
          <w14:ligatures w14:val="none"/>
        </w:rPr>
      </w:pPr>
      <w:r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L'IPC, un parametro ampiamente utilizzato </w:t>
      </w:r>
      <w:r w:rsidR="005F0A25">
        <w:rPr>
          <w:rFonts w:ascii="Calibri" w:eastAsia="DengXian" w:hAnsi="Calibri" w:cs="Calibri"/>
          <w:kern w:val="0"/>
          <w:lang w:eastAsia="zh-CN"/>
          <w14:ligatures w14:val="none"/>
        </w:rPr>
        <w:t>per misurare l</w:t>
      </w:r>
      <w:r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'inflazione, ha raggiunto un picco nel giugno 2022, a causa degli elevati prezzi delle merci, in particolare nelle categorie </w:t>
      </w:r>
      <w:r w:rsidR="00963AD2">
        <w:rPr>
          <w:rFonts w:ascii="Calibri" w:eastAsia="DengXian" w:hAnsi="Calibri" w:cs="Calibri"/>
          <w:kern w:val="0"/>
          <w:lang w:eastAsia="zh-CN"/>
          <w14:ligatures w14:val="none"/>
        </w:rPr>
        <w:t xml:space="preserve">dei </w:t>
      </w:r>
      <w:r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beni alimentari, </w:t>
      </w:r>
      <w:r w:rsidR="00963AD2">
        <w:rPr>
          <w:rFonts w:ascii="Calibri" w:eastAsia="DengXian" w:hAnsi="Calibri" w:cs="Calibri"/>
          <w:kern w:val="0"/>
          <w:lang w:eastAsia="zh-CN"/>
          <w14:ligatures w14:val="none"/>
        </w:rPr>
        <w:t>dell’</w:t>
      </w:r>
      <w:r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energia e </w:t>
      </w:r>
      <w:r w:rsidR="00963AD2">
        <w:rPr>
          <w:rFonts w:ascii="Calibri" w:eastAsia="DengXian" w:hAnsi="Calibri" w:cs="Calibri"/>
          <w:kern w:val="0"/>
          <w:lang w:eastAsia="zh-CN"/>
          <w14:ligatures w14:val="none"/>
        </w:rPr>
        <w:t xml:space="preserve">dei </w:t>
      </w:r>
      <w:r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beni </w:t>
      </w:r>
      <w:r w:rsidR="007C55E5">
        <w:rPr>
          <w:rFonts w:ascii="Calibri" w:eastAsia="DengXian" w:hAnsi="Calibri" w:cs="Calibri"/>
          <w:kern w:val="0"/>
          <w:lang w:eastAsia="zh-CN"/>
          <w14:ligatures w14:val="none"/>
        </w:rPr>
        <w:t>di prima necessità</w:t>
      </w:r>
      <w:r w:rsidR="00963AD2">
        <w:rPr>
          <w:rFonts w:ascii="Calibri" w:eastAsia="DengXian" w:hAnsi="Calibri" w:cs="Calibri"/>
          <w:kern w:val="0"/>
          <w:lang w:eastAsia="zh-CN"/>
          <w14:ligatures w14:val="none"/>
        </w:rPr>
        <w:t xml:space="preserve"> </w:t>
      </w:r>
      <w:r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del paniere IPC. </w:t>
      </w:r>
      <w:r w:rsidR="005F0A25">
        <w:rPr>
          <w:rFonts w:ascii="Calibri" w:eastAsia="DengXian" w:hAnsi="Calibri" w:cs="Calibri"/>
          <w:kern w:val="0"/>
          <w:lang w:eastAsia="zh-CN"/>
          <w14:ligatures w14:val="none"/>
        </w:rPr>
        <w:t xml:space="preserve">Con </w:t>
      </w:r>
      <w:r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la normalizzazione delle catene di approvvigionamento, l'inflazione è scesa, grazie al calo dei prezzi in queste categorie. Nel </w:t>
      </w:r>
      <w:r w:rsidR="005F0A25">
        <w:rPr>
          <w:rFonts w:ascii="Calibri" w:eastAsia="DengXian" w:hAnsi="Calibri" w:cs="Calibri"/>
          <w:kern w:val="0"/>
          <w:lang w:eastAsia="zh-CN"/>
          <w14:ligatures w14:val="none"/>
        </w:rPr>
        <w:t>frattempo</w:t>
      </w:r>
      <w:r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, l'inflazione dei servizi </w:t>
      </w:r>
      <w:r w:rsidR="005F0A25">
        <w:rPr>
          <w:rFonts w:ascii="Calibri" w:eastAsia="DengXian" w:hAnsi="Calibri" w:cs="Calibri"/>
          <w:kern w:val="0"/>
          <w:lang w:eastAsia="zh-CN"/>
          <w14:ligatures w14:val="none"/>
        </w:rPr>
        <w:t>si è malapena mossa, mentre ora inci</w:t>
      </w:r>
      <w:r w:rsidRPr="00956D7A">
        <w:rPr>
          <w:rFonts w:ascii="Calibri" w:eastAsia="DengXian" w:hAnsi="Calibri" w:cs="Calibri"/>
          <w:kern w:val="0"/>
          <w:lang w:eastAsia="zh-CN"/>
          <w14:ligatures w14:val="none"/>
        </w:rPr>
        <w:t>de per la grande maggior parte dell’inflazione.</w:t>
      </w:r>
    </w:p>
    <w:p w14:paraId="673B4CE5" w14:textId="77777777" w:rsidR="005F0A25" w:rsidRDefault="005F0A25" w:rsidP="00956D7A">
      <w:pPr>
        <w:spacing w:after="0" w:line="264" w:lineRule="auto"/>
        <w:rPr>
          <w:rFonts w:ascii="Calibri" w:eastAsia="DengXian" w:hAnsi="Calibri" w:cs="Calibri"/>
          <w:kern w:val="0"/>
          <w:lang w:eastAsia="zh-CN"/>
          <w14:ligatures w14:val="none"/>
        </w:rPr>
      </w:pPr>
    </w:p>
    <w:p w14:paraId="069334AF" w14:textId="5CC2D68B" w:rsidR="005F0A25" w:rsidRDefault="005F0A25" w:rsidP="00956D7A">
      <w:pPr>
        <w:spacing w:after="0" w:line="264" w:lineRule="auto"/>
        <w:rPr>
          <w:rFonts w:ascii="Calibri" w:eastAsia="DengXian" w:hAnsi="Calibri" w:cs="Calibri"/>
          <w:kern w:val="0"/>
          <w:lang w:eastAsia="zh-CN"/>
          <w14:ligatures w14:val="none"/>
        </w:rPr>
      </w:pPr>
      <w:r w:rsidRPr="005F0A25">
        <w:rPr>
          <w:rFonts w:ascii="Calibri" w:eastAsia="DengXian" w:hAnsi="Calibri" w:cs="Calibri"/>
          <w:noProof/>
          <w:kern w:val="0"/>
          <w:lang w:eastAsia="zh-CN"/>
          <w14:ligatures w14:val="none"/>
        </w:rPr>
        <w:drawing>
          <wp:inline distT="0" distB="0" distL="0" distR="0" wp14:anchorId="39AD813E" wp14:editId="614656FA">
            <wp:extent cx="4737793" cy="1633993"/>
            <wp:effectExtent l="0" t="0" r="5715" b="4445"/>
            <wp:docPr id="1285370219" name="Immagine 1" descr="Immagine che contiene testo, schermata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370219" name="Immagine 1" descr="Immagine che contiene testo, schermata, Diagramma, linea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102" cy="164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BC8E7" w14:textId="77777777" w:rsidR="005F0A25" w:rsidRPr="00956D7A" w:rsidRDefault="005F0A25" w:rsidP="00956D7A">
      <w:pPr>
        <w:spacing w:after="0" w:line="264" w:lineRule="auto"/>
        <w:rPr>
          <w:rFonts w:ascii="Calibri" w:eastAsia="DengXian" w:hAnsi="Calibri" w:cs="Calibri"/>
          <w:kern w:val="0"/>
          <w:lang w:eastAsia="zh-CN"/>
          <w14:ligatures w14:val="none"/>
        </w:rPr>
      </w:pPr>
    </w:p>
    <w:p w14:paraId="3B3AD12F" w14:textId="1EE6534A" w:rsidR="00956D7A" w:rsidRPr="00956D7A" w:rsidRDefault="00956D7A" w:rsidP="00956D7A">
      <w:pPr>
        <w:widowControl w:val="0"/>
        <w:autoSpaceDE w:val="0"/>
        <w:autoSpaceDN w:val="0"/>
        <w:spacing w:after="0" w:line="264" w:lineRule="auto"/>
        <w:outlineLvl w:val="1"/>
        <w:rPr>
          <w:rFonts w:ascii="Calibri" w:eastAsia="Yu Gothic UI" w:hAnsi="Calibri" w:cs="Calibri"/>
          <w:kern w:val="0"/>
          <w14:ligatures w14:val="none"/>
        </w:rPr>
      </w:pPr>
      <w:r w:rsidRPr="00956D7A">
        <w:rPr>
          <w:rFonts w:ascii="Calibri" w:eastAsia="Yu Gothic UI" w:hAnsi="Calibri" w:cs="Calibri"/>
          <w:kern w:val="0"/>
          <w14:ligatures w14:val="none"/>
        </w:rPr>
        <w:t>Quest</w:t>
      </w:r>
      <w:r w:rsidR="005F0A25">
        <w:rPr>
          <w:rFonts w:ascii="Calibri" w:eastAsia="Yu Gothic UI" w:hAnsi="Calibri" w:cs="Calibri"/>
          <w:kern w:val="0"/>
          <w14:ligatures w14:val="none"/>
        </w:rPr>
        <w:t>o contesto genera preoccupazioni per gli investitori</w:t>
      </w:r>
      <w:r w:rsidRPr="00956D7A">
        <w:rPr>
          <w:rFonts w:ascii="Calibri" w:eastAsia="Yu Gothic UI" w:hAnsi="Calibri" w:cs="Calibri"/>
          <w:kern w:val="0"/>
          <w14:ligatures w14:val="none"/>
        </w:rPr>
        <w:t xml:space="preserve">. </w:t>
      </w:r>
      <w:r w:rsidR="005F0A25">
        <w:rPr>
          <w:rFonts w:ascii="Calibri" w:eastAsia="Yu Gothic UI" w:hAnsi="Calibri" w:cs="Calibri"/>
          <w:kern w:val="0"/>
          <w14:ligatures w14:val="none"/>
        </w:rPr>
        <w:t>Per</w:t>
      </w:r>
      <w:r w:rsidRPr="00956D7A">
        <w:rPr>
          <w:rFonts w:ascii="Calibri" w:eastAsia="Yu Gothic UI" w:hAnsi="Calibri" w:cs="Calibri"/>
          <w:kern w:val="0"/>
          <w14:ligatures w14:val="none"/>
        </w:rPr>
        <w:t xml:space="preserve"> raggiungere il target del 2% della Federal Reserve, </w:t>
      </w:r>
      <w:r w:rsidR="005F0A25">
        <w:rPr>
          <w:rFonts w:ascii="Calibri" w:eastAsia="Yu Gothic UI" w:hAnsi="Calibri" w:cs="Calibri"/>
          <w:kern w:val="0"/>
          <w14:ligatures w14:val="none"/>
        </w:rPr>
        <w:t>dovremmo vedere non solo un ridimensionamento del</w:t>
      </w:r>
      <w:r w:rsidRPr="00956D7A">
        <w:rPr>
          <w:rFonts w:ascii="Calibri" w:eastAsia="Yu Gothic UI" w:hAnsi="Calibri" w:cs="Calibri"/>
          <w:kern w:val="0"/>
          <w14:ligatures w14:val="none"/>
        </w:rPr>
        <w:t>l'ostinata inflazione dei servizi, ma anche</w:t>
      </w:r>
      <w:r w:rsidR="005F0A25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Pr="00956D7A">
        <w:rPr>
          <w:rFonts w:ascii="Calibri" w:eastAsia="Yu Gothic UI" w:hAnsi="Calibri" w:cs="Calibri"/>
          <w:kern w:val="0"/>
          <w14:ligatures w14:val="none"/>
        </w:rPr>
        <w:t xml:space="preserve">quella dei beni non dovrà registrare incrementi. Si tratta di </w:t>
      </w:r>
      <w:r w:rsidR="005F0A25">
        <w:rPr>
          <w:rFonts w:ascii="Calibri" w:eastAsia="Yu Gothic UI" w:hAnsi="Calibri" w:cs="Calibri"/>
          <w:kern w:val="0"/>
          <w14:ligatures w14:val="none"/>
        </w:rPr>
        <w:t>uno scenario</w:t>
      </w:r>
      <w:r w:rsidRPr="00956D7A">
        <w:rPr>
          <w:rFonts w:ascii="Calibri" w:eastAsia="Yu Gothic UI" w:hAnsi="Calibri" w:cs="Calibri"/>
          <w:kern w:val="0"/>
          <w14:ligatures w14:val="none"/>
        </w:rPr>
        <w:t xml:space="preserve"> decisamente ottimistic</w:t>
      </w:r>
      <w:r w:rsidR="005F0A25">
        <w:rPr>
          <w:rFonts w:ascii="Calibri" w:eastAsia="Yu Gothic UI" w:hAnsi="Calibri" w:cs="Calibri"/>
          <w:kern w:val="0"/>
          <w14:ligatures w14:val="none"/>
        </w:rPr>
        <w:t>o.</w:t>
      </w:r>
      <w:r w:rsidRPr="00956D7A">
        <w:rPr>
          <w:rFonts w:ascii="Calibri" w:eastAsia="Yu Gothic UI" w:hAnsi="Calibri" w:cs="Calibri"/>
          <w:kern w:val="0"/>
          <w14:ligatures w14:val="none"/>
        </w:rPr>
        <w:t xml:space="preserve"> </w:t>
      </w:r>
    </w:p>
    <w:p w14:paraId="5A77B8D0" w14:textId="5EECBA46" w:rsidR="00956D7A" w:rsidRPr="00956D7A" w:rsidRDefault="00956D7A" w:rsidP="00956D7A">
      <w:pPr>
        <w:spacing w:after="0" w:line="264" w:lineRule="auto"/>
        <w:rPr>
          <w:rFonts w:ascii="Calibri" w:eastAsia="DengXian" w:hAnsi="Calibri" w:cs="Calibri"/>
          <w:kern w:val="0"/>
          <w:lang w:eastAsia="zh-CN"/>
          <w14:ligatures w14:val="none"/>
        </w:rPr>
      </w:pPr>
      <w:r w:rsidRPr="00956D7A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 xml:space="preserve">Considerato il passaggio dal rischio di recessione al rischio d’inflazione, riteniamo che gli investitori debbano riconsiderare </w:t>
      </w:r>
      <w:r w:rsidR="005F0A25" w:rsidRPr="00B14B36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 xml:space="preserve">la propria asset </w:t>
      </w:r>
      <w:proofErr w:type="spellStart"/>
      <w:r w:rsidR="005F0A25" w:rsidRPr="00B14B36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>allocation</w:t>
      </w:r>
      <w:proofErr w:type="spellEnd"/>
      <w:r w:rsidRPr="00956D7A">
        <w:rPr>
          <w:rFonts w:ascii="Calibri" w:eastAsia="Yu Gothic UI" w:hAnsi="Calibri" w:cs="Calibri"/>
          <w:kern w:val="0"/>
          <w14:ligatures w14:val="none"/>
        </w:rPr>
        <w:t xml:space="preserve">. Un'analisi dei rendimenti degli asset in vari contesti inflazionistici fornisce alcuni utili spunti di </w:t>
      </w:r>
      <w:r w:rsidRPr="00956D7A">
        <w:rPr>
          <w:rFonts w:ascii="Calibri" w:eastAsia="DengXian" w:hAnsi="Calibri" w:cs="Calibri"/>
          <w:kern w:val="0"/>
          <w:lang w:eastAsia="zh-CN"/>
          <w14:ligatures w14:val="none"/>
        </w:rPr>
        <w:t>riflessione.</w:t>
      </w:r>
    </w:p>
    <w:p w14:paraId="3DF9DB01" w14:textId="77777777" w:rsidR="00956D7A" w:rsidRDefault="00956D7A" w:rsidP="00956D7A">
      <w:pPr>
        <w:widowControl w:val="0"/>
        <w:autoSpaceDE w:val="0"/>
        <w:autoSpaceDN w:val="0"/>
        <w:spacing w:after="0" w:line="264" w:lineRule="auto"/>
        <w:rPr>
          <w:rFonts w:ascii="Calibri" w:eastAsia="Yu Gothic UI" w:hAnsi="Calibri" w:cs="Calibri"/>
          <w:kern w:val="0"/>
          <w14:ligatures w14:val="none"/>
        </w:rPr>
      </w:pPr>
    </w:p>
    <w:p w14:paraId="0099E07A" w14:textId="20C18074" w:rsidR="005F0A25" w:rsidRDefault="005F0A25" w:rsidP="00956D7A">
      <w:pPr>
        <w:widowControl w:val="0"/>
        <w:autoSpaceDE w:val="0"/>
        <w:autoSpaceDN w:val="0"/>
        <w:spacing w:after="0" w:line="264" w:lineRule="auto"/>
        <w:rPr>
          <w:rFonts w:ascii="Calibri" w:eastAsia="Yu Gothic UI" w:hAnsi="Calibri" w:cs="Calibri"/>
          <w:kern w:val="0"/>
          <w14:ligatures w14:val="none"/>
        </w:rPr>
      </w:pPr>
      <w:r w:rsidRPr="005F0A25">
        <w:rPr>
          <w:rFonts w:ascii="Calibri" w:eastAsia="Yu Gothic UI" w:hAnsi="Calibri" w:cs="Calibri"/>
          <w:noProof/>
          <w:kern w:val="0"/>
          <w14:ligatures w14:val="none"/>
        </w:rPr>
        <w:drawing>
          <wp:inline distT="0" distB="0" distL="0" distR="0" wp14:anchorId="3A699624" wp14:editId="62A81F61">
            <wp:extent cx="4504414" cy="1679224"/>
            <wp:effectExtent l="0" t="0" r="0" b="0"/>
            <wp:docPr id="677895317" name="Immagine 1" descr="Immagine che contiene testo, Carattere, numero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95317" name="Immagine 1" descr="Immagine che contiene testo, Carattere, numero, line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459" cy="168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A2102" w14:textId="77777777" w:rsidR="005F0A25" w:rsidRPr="00956D7A" w:rsidRDefault="005F0A25" w:rsidP="00956D7A">
      <w:pPr>
        <w:widowControl w:val="0"/>
        <w:autoSpaceDE w:val="0"/>
        <w:autoSpaceDN w:val="0"/>
        <w:spacing w:after="0" w:line="264" w:lineRule="auto"/>
        <w:rPr>
          <w:rFonts w:ascii="Calibri" w:eastAsia="Yu Gothic UI" w:hAnsi="Calibri" w:cs="Calibri"/>
          <w:kern w:val="0"/>
          <w14:ligatures w14:val="none"/>
        </w:rPr>
      </w:pPr>
    </w:p>
    <w:p w14:paraId="35538E3B" w14:textId="0406349E" w:rsidR="00956D7A" w:rsidRPr="00956D7A" w:rsidRDefault="005F0A25" w:rsidP="00956D7A">
      <w:pPr>
        <w:widowControl w:val="0"/>
        <w:autoSpaceDE w:val="0"/>
        <w:autoSpaceDN w:val="0"/>
        <w:spacing w:after="0" w:line="264" w:lineRule="auto"/>
        <w:outlineLvl w:val="1"/>
        <w:rPr>
          <w:rFonts w:ascii="Calibri" w:eastAsia="Yu Gothic UI" w:hAnsi="Calibri" w:cs="Calibri"/>
          <w:kern w:val="0"/>
          <w14:ligatures w14:val="none"/>
        </w:rPr>
      </w:pPr>
      <w:r>
        <w:rPr>
          <w:rFonts w:ascii="Calibri" w:eastAsia="Yu Gothic UI" w:hAnsi="Calibri" w:cs="Calibri"/>
          <w:kern w:val="0"/>
          <w14:ligatures w14:val="none"/>
        </w:rPr>
        <w:t>Come si evince dal secondo grafico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, </w:t>
      </w:r>
      <w:r w:rsidR="00956D7A" w:rsidRPr="00956D7A">
        <w:rPr>
          <w:rFonts w:ascii="Calibri" w:eastAsia="Yu Gothic UI" w:hAnsi="Calibri" w:cs="Calibri"/>
          <w:b/>
          <w:bCs/>
          <w:kern w:val="0"/>
          <w14:ligatures w14:val="none"/>
        </w:rPr>
        <w:t>le obbligazioni hanno storicamente costituito una copertura eccellente nei periodi di recessione, ma non sono state una copertura efficace contro l'inflazione elevata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. </w:t>
      </w:r>
      <w:r w:rsidRPr="00B14B36">
        <w:rPr>
          <w:rFonts w:ascii="Calibri" w:eastAsia="Yu Gothic UI" w:hAnsi="Calibri" w:cs="Calibri"/>
          <w:b/>
          <w:bCs/>
          <w:kern w:val="0"/>
          <w14:ligatures w14:val="none"/>
        </w:rPr>
        <w:t>L</w:t>
      </w:r>
      <w:r w:rsidR="00956D7A" w:rsidRPr="00956D7A">
        <w:rPr>
          <w:rFonts w:ascii="Calibri" w:eastAsia="Yu Gothic UI" w:hAnsi="Calibri" w:cs="Calibri"/>
          <w:b/>
          <w:bCs/>
          <w:kern w:val="0"/>
          <w14:ligatures w14:val="none"/>
        </w:rPr>
        <w:t>e azioni</w:t>
      </w:r>
      <w:r w:rsidRPr="00B14B36">
        <w:rPr>
          <w:rFonts w:ascii="Calibri" w:eastAsia="Yu Gothic UI" w:hAnsi="Calibri" w:cs="Calibri"/>
          <w:b/>
          <w:bCs/>
          <w:kern w:val="0"/>
          <w14:ligatures w14:val="none"/>
        </w:rPr>
        <w:t xml:space="preserve"> invece </w:t>
      </w:r>
      <w:r w:rsidR="00956D7A" w:rsidRPr="00956D7A">
        <w:rPr>
          <w:rFonts w:ascii="Calibri" w:eastAsia="Yu Gothic UI" w:hAnsi="Calibri" w:cs="Calibri"/>
          <w:b/>
          <w:bCs/>
          <w:kern w:val="0"/>
          <w14:ligatures w14:val="none"/>
        </w:rPr>
        <w:t>hanno sovraperformato le obbligazioni quando l'inflazione era a livelli bassi, moderati e persino leggermente elevati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>.</w:t>
      </w:r>
      <w:r w:rsidR="00956D7A" w:rsidRPr="00956D7A">
        <w:rPr>
          <w:rFonts w:ascii="Calibri" w:eastAsia="Yu Gothic UI" w:hAnsi="Calibri" w:cs="Calibri"/>
          <w:spacing w:val="-7"/>
          <w:kern w:val="0"/>
          <w14:ligatures w14:val="none"/>
        </w:rPr>
        <w:t xml:space="preserve"> </w:t>
      </w:r>
      <w:r w:rsidR="004E4268">
        <w:rPr>
          <w:rFonts w:ascii="Calibri" w:eastAsia="Yu Gothic UI" w:hAnsi="Calibri" w:cs="Calibri"/>
          <w:kern w:val="0"/>
          <w14:ligatures w14:val="none"/>
        </w:rPr>
        <w:t>I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rendimenti</w:t>
      </w:r>
      <w:r w:rsidR="00DE303D">
        <w:rPr>
          <w:rFonts w:ascii="Calibri" w:eastAsia="Yu Gothic UI" w:hAnsi="Calibri" w:cs="Calibri"/>
          <w:kern w:val="0"/>
          <w14:ligatures w14:val="none"/>
        </w:rPr>
        <w:t>,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DE303D">
        <w:rPr>
          <w:rFonts w:ascii="Calibri" w:eastAsia="Yu Gothic UI" w:hAnsi="Calibri" w:cs="Calibri"/>
          <w:kern w:val="0"/>
          <w14:ligatures w14:val="none"/>
        </w:rPr>
        <w:t>tuttavia,</w:t>
      </w:r>
      <w:r w:rsidR="004E4268">
        <w:rPr>
          <w:rFonts w:ascii="Calibri" w:eastAsia="Yu Gothic UI" w:hAnsi="Calibri" w:cs="Calibri"/>
          <w:kern w:val="0"/>
          <w14:ligatures w14:val="none"/>
        </w:rPr>
        <w:t xml:space="preserve"> 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>sono calati bruscamente durante le recessioni e si sono indeboliti, anche quando l’inflazione è passata a livelli molto elevati.</w:t>
      </w:r>
    </w:p>
    <w:p w14:paraId="6184313E" w14:textId="697D394D" w:rsidR="00956D7A" w:rsidRPr="00956D7A" w:rsidRDefault="004E4268" w:rsidP="00956D7A">
      <w:pPr>
        <w:spacing w:after="0" w:line="264" w:lineRule="auto"/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</w:pPr>
      <w:r>
        <w:rPr>
          <w:rFonts w:ascii="Calibri" w:eastAsia="DengXian" w:hAnsi="Calibri" w:cs="Calibri"/>
          <w:kern w:val="0"/>
          <w:lang w:eastAsia="zh-CN"/>
          <w14:ligatures w14:val="none"/>
        </w:rPr>
        <w:lastRenderedPageBreak/>
        <w:t xml:space="preserve">Ma non </w:t>
      </w:r>
      <w:r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>i</w:t>
      </w:r>
      <w:r w:rsidR="00956D7A" w:rsidRPr="00956D7A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 xml:space="preserve"> titoli del settore energetico</w:t>
      </w:r>
      <w:r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 xml:space="preserve"> i quali, invece,</w:t>
      </w:r>
      <w:r w:rsidR="00956D7A" w:rsidRPr="00956D7A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 xml:space="preserve"> hanno storicamente registrato performance piuttosto positive nei periodi in cui l'inflazione è</w:t>
      </w:r>
      <w:r w:rsidR="00B14B36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 xml:space="preserve"> stata</w:t>
      </w:r>
      <w:r w:rsidR="00956D7A" w:rsidRPr="00956D7A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 xml:space="preserve"> molto elevata</w:t>
      </w:r>
      <w:r w:rsidR="00956D7A" w:rsidRPr="00956D7A">
        <w:rPr>
          <w:rFonts w:ascii="Calibri" w:eastAsia="DengXian" w:hAnsi="Calibri" w:cs="Calibri"/>
          <w:kern w:val="0"/>
          <w:lang w:eastAsia="zh-CN"/>
          <w14:ligatures w14:val="none"/>
        </w:rPr>
        <w:t xml:space="preserve">. Questi risultati implicano che </w:t>
      </w:r>
      <w:r w:rsidR="00956D7A" w:rsidRPr="00956D7A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 xml:space="preserve">un orientamento verso </w:t>
      </w:r>
      <w:r w:rsidR="005F0A25" w:rsidRPr="00B14B36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>l’azionario</w:t>
      </w:r>
      <w:r w:rsidR="00956D7A" w:rsidRPr="00956D7A">
        <w:rPr>
          <w:rFonts w:ascii="Calibri" w:eastAsia="DengXian" w:hAnsi="Calibri" w:cs="Calibri"/>
          <w:b/>
          <w:bCs/>
          <w:kern w:val="0"/>
          <w:lang w:eastAsia="zh-CN"/>
          <w14:ligatures w14:val="none"/>
        </w:rPr>
        <w:t>, con particolare attenzione al settore energetico, potrebbe rappresentare un modo per assicurare una copertura contro il rischio d’inflazione.</w:t>
      </w:r>
    </w:p>
    <w:p w14:paraId="27620020" w14:textId="77777777" w:rsidR="00956D7A" w:rsidRPr="00956D7A" w:rsidRDefault="00956D7A" w:rsidP="00956D7A">
      <w:pPr>
        <w:spacing w:after="0" w:line="264" w:lineRule="auto"/>
        <w:ind w:right="987"/>
        <w:jc w:val="both"/>
        <w:rPr>
          <w:rFonts w:ascii="Calibri" w:eastAsia="DengXian" w:hAnsi="Calibri" w:cs="Calibri"/>
          <w:lang w:eastAsia="zh-CN"/>
        </w:rPr>
      </w:pPr>
    </w:p>
    <w:p w14:paraId="421F715A" w14:textId="60BEA29C" w:rsidR="005F0A25" w:rsidRPr="00956D7A" w:rsidRDefault="005F0A25" w:rsidP="005F0A25">
      <w:pPr>
        <w:widowControl w:val="0"/>
        <w:autoSpaceDE w:val="0"/>
        <w:autoSpaceDN w:val="0"/>
        <w:spacing w:after="0" w:line="264" w:lineRule="auto"/>
        <w:ind w:right="836"/>
        <w:outlineLvl w:val="1"/>
        <w:rPr>
          <w:rFonts w:ascii="Calibri" w:eastAsia="Yu Gothic UI" w:hAnsi="Calibri" w:cs="Calibri"/>
          <w:kern w:val="0"/>
          <w14:ligatures w14:val="none"/>
        </w:rPr>
      </w:pPr>
      <w:r>
        <w:rPr>
          <w:rFonts w:ascii="Calibri" w:eastAsia="Yu Gothic UI" w:hAnsi="Calibri" w:cs="Calibri"/>
          <w:kern w:val="0"/>
          <w14:ligatures w14:val="none"/>
        </w:rPr>
        <w:t xml:space="preserve">Per questo, di recente, il nostro 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Asset </w:t>
      </w:r>
      <w:proofErr w:type="spellStart"/>
      <w:r w:rsidR="00956D7A" w:rsidRPr="00956D7A">
        <w:rPr>
          <w:rFonts w:ascii="Calibri" w:eastAsia="Yu Gothic UI" w:hAnsi="Calibri" w:cs="Calibri"/>
          <w:kern w:val="0"/>
          <w14:ligatures w14:val="none"/>
        </w:rPr>
        <w:t>Allocation</w:t>
      </w:r>
      <w:proofErr w:type="spellEnd"/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Committee ha assunto una posizione sovrappesata </w:t>
      </w:r>
      <w:r>
        <w:rPr>
          <w:rFonts w:ascii="Calibri" w:eastAsia="Yu Gothic UI" w:hAnsi="Calibri" w:cs="Calibri"/>
          <w:kern w:val="0"/>
          <w14:ligatures w14:val="none"/>
        </w:rPr>
        <w:t xml:space="preserve">sull’azionario. Sovrappesiamo anche i titoli azionari </w:t>
      </w:r>
      <w:r w:rsidR="007C55E5">
        <w:rPr>
          <w:rFonts w:ascii="Calibri" w:eastAsia="Yu Gothic UI" w:hAnsi="Calibri" w:cs="Calibri"/>
          <w:kern w:val="0"/>
          <w14:ligatures w14:val="none"/>
        </w:rPr>
        <w:t xml:space="preserve">nei </w:t>
      </w:r>
      <w:proofErr w:type="spellStart"/>
      <w:r w:rsidR="007C55E5">
        <w:rPr>
          <w:rFonts w:ascii="Calibri" w:eastAsia="Yu Gothic UI" w:hAnsi="Calibri" w:cs="Calibri"/>
          <w:kern w:val="0"/>
          <w14:ligatures w14:val="none"/>
        </w:rPr>
        <w:t>real</w:t>
      </w:r>
      <w:proofErr w:type="spellEnd"/>
      <w:r w:rsidR="007C55E5">
        <w:rPr>
          <w:rFonts w:ascii="Calibri" w:eastAsia="Yu Gothic UI" w:hAnsi="Calibri" w:cs="Calibri"/>
          <w:kern w:val="0"/>
          <w14:ligatures w14:val="none"/>
        </w:rPr>
        <w:t xml:space="preserve"> asset</w:t>
      </w:r>
      <w:r>
        <w:rPr>
          <w:rFonts w:ascii="Calibri" w:eastAsia="Yu Gothic UI" w:hAnsi="Calibri" w:cs="Calibri"/>
          <w:kern w:val="0"/>
          <w14:ligatures w14:val="none"/>
        </w:rPr>
        <w:t>,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</w:t>
      </w:r>
      <w:r>
        <w:rPr>
          <w:rFonts w:ascii="Calibri" w:eastAsia="Yu Gothic UI" w:hAnsi="Calibri" w:cs="Calibri"/>
          <w:kern w:val="0"/>
          <w14:ligatures w14:val="none"/>
        </w:rPr>
        <w:t>con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un'ampia allocazione </w:t>
      </w:r>
      <w:r>
        <w:rPr>
          <w:rFonts w:ascii="Calibri" w:eastAsia="Yu Gothic UI" w:hAnsi="Calibri" w:cs="Calibri"/>
          <w:kern w:val="0"/>
          <w14:ligatures w14:val="none"/>
        </w:rPr>
        <w:t>sul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l’energia e </w:t>
      </w:r>
      <w:r>
        <w:rPr>
          <w:rFonts w:ascii="Calibri" w:eastAsia="Yu Gothic UI" w:hAnsi="Calibri" w:cs="Calibri"/>
          <w:kern w:val="0"/>
          <w14:ligatures w14:val="none"/>
        </w:rPr>
        <w:t>su altri titoli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orientat</w:t>
      </w:r>
      <w:r>
        <w:rPr>
          <w:rFonts w:ascii="Calibri" w:eastAsia="Yu Gothic UI" w:hAnsi="Calibri" w:cs="Calibri"/>
          <w:kern w:val="0"/>
          <w14:ligatures w14:val="none"/>
        </w:rPr>
        <w:t>i</w:t>
      </w:r>
      <w:r w:rsidR="00956D7A" w:rsidRPr="00956D7A">
        <w:rPr>
          <w:rFonts w:ascii="Calibri" w:eastAsia="Yu Gothic UI" w:hAnsi="Calibri" w:cs="Calibri"/>
          <w:kern w:val="0"/>
          <w14:ligatures w14:val="none"/>
        </w:rPr>
        <w:t xml:space="preserve"> alle materie prime.</w:t>
      </w:r>
    </w:p>
    <w:p w14:paraId="2E5E7D5E" w14:textId="77777777" w:rsidR="00461F81" w:rsidRPr="00956D7A" w:rsidRDefault="00461F81" w:rsidP="00956D7A">
      <w:pPr>
        <w:spacing w:after="0" w:line="264" w:lineRule="auto"/>
        <w:rPr>
          <w:rFonts w:ascii="Calibri" w:hAnsi="Calibri" w:cs="Calibri"/>
        </w:rPr>
      </w:pPr>
    </w:p>
    <w:sectPr w:rsidR="00461F81" w:rsidRPr="00956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UI">
    <w:altName w:val="Droid Sans Fallback"/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21"/>
    <w:rsid w:val="003A00A9"/>
    <w:rsid w:val="00461F81"/>
    <w:rsid w:val="004E4268"/>
    <w:rsid w:val="005F0A25"/>
    <w:rsid w:val="007C55E5"/>
    <w:rsid w:val="007F17EC"/>
    <w:rsid w:val="00956D7A"/>
    <w:rsid w:val="00963AD2"/>
    <w:rsid w:val="009C6C74"/>
    <w:rsid w:val="00B14B36"/>
    <w:rsid w:val="00DE303D"/>
    <w:rsid w:val="00F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E5E7"/>
  <w15:chartTrackingRefBased/>
  <w15:docId w15:val="{C209C87F-12A8-4925-93EF-87662BA9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B61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61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61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61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61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61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61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61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61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61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61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61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612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612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612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612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612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612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61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61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61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61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B61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612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B612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B612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61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612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B6121"/>
    <w:rPr>
      <w:b/>
      <w:bCs/>
      <w:smallCaps/>
      <w:color w:val="0F4761" w:themeColor="accent1" w:themeShade="BF"/>
      <w:spacing w:val="5"/>
    </w:rPr>
  </w:style>
  <w:style w:type="paragraph" w:styleId="Revisione">
    <w:name w:val="Revision"/>
    <w:hidden/>
    <w:uiPriority w:val="99"/>
    <w:semiHidden/>
    <w:rsid w:val="00963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Denise Bosotti</cp:lastModifiedBy>
  <cp:revision>9</cp:revision>
  <dcterms:created xsi:type="dcterms:W3CDTF">2024-04-18T13:10:00Z</dcterms:created>
  <dcterms:modified xsi:type="dcterms:W3CDTF">2024-04-18T14:08:00Z</dcterms:modified>
</cp:coreProperties>
</file>