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3846" w14:textId="78BA70E0" w:rsidR="005D5F6A" w:rsidRPr="00A94EE6" w:rsidRDefault="002147D6">
      <w:pPr>
        <w:rPr>
          <w:b/>
          <w:bCs/>
        </w:rPr>
      </w:pPr>
      <w:r w:rsidRPr="00A94EE6">
        <w:rPr>
          <w:b/>
          <w:bCs/>
        </w:rPr>
        <w:t>RBC BlueBay</w:t>
      </w:r>
      <w:r w:rsidR="00DD07F8" w:rsidRPr="00A94EE6">
        <w:rPr>
          <w:b/>
          <w:bCs/>
        </w:rPr>
        <w:t xml:space="preserve"> - Obbligazioni High Yield, prospettive in miglioramento nel 2024 grazie a ripresa M&amp;A</w:t>
      </w:r>
    </w:p>
    <w:p w14:paraId="09DCC54A" w14:textId="023513B8" w:rsidR="00DD07F8" w:rsidRPr="00DD07F8" w:rsidRDefault="00DD07F8" w:rsidP="00DD07F8">
      <w:pPr>
        <w:rPr>
          <w:lang w:val="en-US"/>
        </w:rPr>
      </w:pPr>
      <w:r w:rsidRPr="00DD07F8">
        <w:rPr>
          <w:lang w:val="en-US"/>
        </w:rPr>
        <w:t xml:space="preserve">A cura di </w:t>
      </w:r>
      <w:r w:rsidRPr="00DD07F8">
        <w:rPr>
          <w:b/>
          <w:bCs/>
          <w:lang w:val="en-US"/>
        </w:rPr>
        <w:t>Justin Jewell, BlueBay Head of European High Yield,</w:t>
      </w:r>
      <w:r>
        <w:rPr>
          <w:b/>
          <w:bCs/>
          <w:lang w:val="en-US"/>
        </w:rPr>
        <w:t xml:space="preserve"> RBC BlueBay</w:t>
      </w:r>
    </w:p>
    <w:p w14:paraId="0CB22017" w14:textId="7F4EBCEB" w:rsidR="004518DC" w:rsidRPr="004518DC" w:rsidRDefault="00EC5936" w:rsidP="004518DC">
      <w:pPr>
        <w:pStyle w:val="NormaleWeb"/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</w:pPr>
      <w:r w:rsidRPr="00EC5936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>L'anno scorso</w:t>
      </w:r>
      <w:r w:rsidR="004F6D92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>,</w:t>
      </w:r>
      <w:r w:rsidRPr="00EC5936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 i mercati si sono trovati in una situazione difficile, ma un'economia che ha essenzialmente ritrovato la </w:t>
      </w:r>
      <w:r w:rsidR="004F6D92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>giusta</w:t>
      </w:r>
      <w:r w:rsidRPr="00EC5936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 strada</w:t>
      </w:r>
      <w:r w:rsidR="004F6D92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>,</w:t>
      </w:r>
      <w:r w:rsidRPr="00EC5936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 in un contesto di pressioni inflazionistiche in calo</w:t>
      </w:r>
      <w:r w:rsidR="004F6D92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>,</w:t>
      </w:r>
      <w:r w:rsidRPr="00EC5936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 ha 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>fornito</w:t>
      </w:r>
      <w:r w:rsidRPr="00EC5936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 agli investitori </w:t>
      </w:r>
      <w:r w:rsidR="004F6D92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una </w:t>
      </w:r>
      <w:r w:rsidRPr="00EC5936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maggiore fiducia </w:t>
      </w:r>
      <w:r w:rsidR="004F6D92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>sul fatto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 </w:t>
      </w:r>
      <w:r w:rsidRPr="00EC5936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>di aver</w:t>
      </w:r>
      <w:r w:rsidR="004F6D92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 già fatto i conti col</w:t>
      </w:r>
      <w:r w:rsidRPr="00EC5936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 peggio delle sfide politiche.</w:t>
      </w:r>
      <w:r w:rsidR="00DD07F8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 </w:t>
      </w:r>
      <w:r w:rsidR="004518DC" w:rsidRPr="004518DC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Nel frattempo, </w:t>
      </w:r>
      <w:r w:rsidR="004518DC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>gli ostacoli</w:t>
      </w:r>
      <w:r w:rsidR="001F26CD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>,</w:t>
      </w:r>
      <w:r w:rsidR="004518DC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 </w:t>
      </w:r>
      <w:r w:rsidR="004518DC" w:rsidRPr="004518DC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come il </w:t>
      </w:r>
      <w:r w:rsidR="004518DC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>peggioramento</w:t>
      </w:r>
      <w:r w:rsidR="004518DC" w:rsidRPr="004518DC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 della qualità </w:t>
      </w:r>
      <w:r w:rsidR="004518DC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>creditizia</w:t>
      </w:r>
      <w:r w:rsidR="004518DC" w:rsidRPr="004518DC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 o la debolezza dell'economia, </w:t>
      </w:r>
      <w:r w:rsidR="001F26CD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>unitamente</w:t>
      </w:r>
      <w:r w:rsidR="004518DC" w:rsidRPr="004518DC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 ai potenziali </w:t>
      </w:r>
      <w:r w:rsidR="004518DC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>fattori favorevoli,</w:t>
      </w:r>
      <w:r w:rsidR="004518DC" w:rsidRPr="004518DC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 come tagli dei tassi d'interesse </w:t>
      </w:r>
      <w:r w:rsidR="004518DC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multipli da parte </w:t>
      </w:r>
      <w:r w:rsidR="004518DC" w:rsidRPr="004518DC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della Fed, si </w:t>
      </w:r>
      <w:r w:rsidR="001F26CD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andrebbero a </w:t>
      </w:r>
      <w:r w:rsidR="004518DC" w:rsidRPr="004518DC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>bilanc</w:t>
      </w:r>
      <w:r w:rsidR="001F26CD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>iare</w:t>
      </w:r>
      <w:r w:rsidR="00CC5D53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 </w:t>
      </w:r>
      <w:r w:rsidR="004518DC" w:rsidRPr="004518DC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ed è improbabile che spostino significativamente </w:t>
      </w:r>
      <w:r w:rsidR="004518DC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>il quadro</w:t>
      </w:r>
      <w:r w:rsidR="004518DC" w:rsidRPr="004518DC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 in un senso o </w:t>
      </w:r>
      <w:r w:rsidR="004518DC" w:rsidRPr="00AE0F8D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>nell'altro.</w:t>
      </w:r>
      <w:r w:rsidR="00DD07F8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 </w:t>
      </w:r>
    </w:p>
    <w:p w14:paraId="4CB97E92" w14:textId="54835987" w:rsidR="00BE3270" w:rsidRPr="00DD07F8" w:rsidRDefault="00BE3270">
      <w:pPr>
        <w:rPr>
          <w:b/>
          <w:bCs/>
        </w:rPr>
      </w:pPr>
      <w:r w:rsidRPr="00BE3270">
        <w:t xml:space="preserve">Gli investitori sono tornati </w:t>
      </w:r>
      <w:r w:rsidR="007A55F4">
        <w:t>a</w:t>
      </w:r>
      <w:r>
        <w:t xml:space="preserve"> un mondo</w:t>
      </w:r>
      <w:r w:rsidRPr="00BE3270">
        <w:t xml:space="preserve"> </w:t>
      </w:r>
      <w:r>
        <w:t>fondato sull’accumul</w:t>
      </w:r>
      <w:r w:rsidR="007A55F4">
        <w:t>o</w:t>
      </w:r>
      <w:r>
        <w:t xml:space="preserve"> di</w:t>
      </w:r>
      <w:r w:rsidRPr="00BE3270">
        <w:t xml:space="preserve"> reddito da asset ad alto rendimento. </w:t>
      </w:r>
      <w:r w:rsidRPr="00DD07F8">
        <w:t>Grazie a rendimenti iniziali molto più elevati</w:t>
      </w:r>
      <w:r w:rsidR="00DD07F8" w:rsidRPr="00DD07F8">
        <w:t>,</w:t>
      </w:r>
      <w:r w:rsidRPr="00DD07F8">
        <w:t xml:space="preserve"> </w:t>
      </w:r>
      <w:r w:rsidRPr="00DD07F8">
        <w:rPr>
          <w:b/>
          <w:bCs/>
        </w:rPr>
        <w:t>le obbligazioni high yield offr</w:t>
      </w:r>
      <w:r w:rsidR="00DD07F8">
        <w:rPr>
          <w:b/>
          <w:bCs/>
        </w:rPr>
        <w:t>ono</w:t>
      </w:r>
      <w:r w:rsidRPr="00DD07F8">
        <w:rPr>
          <w:b/>
          <w:bCs/>
        </w:rPr>
        <w:t xml:space="preserve"> attualmente un</w:t>
      </w:r>
      <w:r w:rsidR="00FC21B9" w:rsidRPr="00DD07F8">
        <w:rPr>
          <w:b/>
          <w:bCs/>
        </w:rPr>
        <w:t>’interessante</w:t>
      </w:r>
      <w:r w:rsidRPr="00DD07F8">
        <w:rPr>
          <w:b/>
          <w:bCs/>
        </w:rPr>
        <w:t xml:space="preserve"> compensazione per il rischio di shock correlati a</w:t>
      </w:r>
      <w:r w:rsidR="00156B1F" w:rsidRPr="00DD07F8">
        <w:rPr>
          <w:b/>
          <w:bCs/>
        </w:rPr>
        <w:t>gli</w:t>
      </w:r>
      <w:r w:rsidRPr="00DD07F8">
        <w:rPr>
          <w:b/>
          <w:bCs/>
        </w:rPr>
        <w:t xml:space="preserve"> spread o </w:t>
      </w:r>
      <w:r w:rsidR="00156B1F" w:rsidRPr="00DD07F8">
        <w:rPr>
          <w:b/>
          <w:bCs/>
        </w:rPr>
        <w:t xml:space="preserve">ai </w:t>
      </w:r>
      <w:r w:rsidRPr="00DD07F8">
        <w:rPr>
          <w:b/>
          <w:bCs/>
        </w:rPr>
        <w:t>tassi nel medio termine.</w:t>
      </w:r>
      <w:r w:rsidRPr="00BE3270">
        <w:t xml:space="preserve"> </w:t>
      </w:r>
      <w:r w:rsidRPr="00DD07F8">
        <w:rPr>
          <w:b/>
          <w:bCs/>
        </w:rPr>
        <w:t>Gli investitori possono realisticamente aspettarsi rendimenti del 7-9% rispetto a due o tre anni fa.</w:t>
      </w:r>
    </w:p>
    <w:p w14:paraId="3DD5238C" w14:textId="579E0D64" w:rsidR="002147D6" w:rsidRPr="00DD07F8" w:rsidRDefault="00180DBE" w:rsidP="00DD07F8">
      <w:pPr>
        <w:rPr>
          <w:b/>
          <w:bCs/>
          <w:u w:val="single"/>
        </w:rPr>
      </w:pPr>
      <w:r w:rsidRPr="00DD07F8">
        <w:rPr>
          <w:u w:val="single"/>
        </w:rPr>
        <w:t xml:space="preserve">I default potrebbero porre delle sfide </w:t>
      </w:r>
      <w:r w:rsidR="00DD07F8">
        <w:rPr>
          <w:u w:val="single"/>
        </w:rPr>
        <w:br/>
      </w:r>
      <w:r>
        <w:t xml:space="preserve">La </w:t>
      </w:r>
      <w:r w:rsidR="00897245">
        <w:t xml:space="preserve">maggiore </w:t>
      </w:r>
      <w:r>
        <w:t xml:space="preserve">sfida esterna è rappresentata da ciò che sta accadendo nell'economia reale e dal </w:t>
      </w:r>
      <w:r w:rsidR="00A63C40">
        <w:t xml:space="preserve">conseguente </w:t>
      </w:r>
      <w:r>
        <w:t>mix a livello politico</w:t>
      </w:r>
      <w:r w:rsidR="00A63C40">
        <w:t>. Infatti</w:t>
      </w:r>
      <w:r w:rsidR="00DD07F8">
        <w:t>,</w:t>
      </w:r>
      <w:r>
        <w:t xml:space="preserve"> i tassi sono stati un driver </w:t>
      </w:r>
      <w:r w:rsidR="00A63C40">
        <w:t>decisamente</w:t>
      </w:r>
      <w:r>
        <w:t xml:space="preserve"> potente nell’ultimo paio d’anni.</w:t>
      </w:r>
      <w:r w:rsidRPr="00180DBE">
        <w:t xml:space="preserve"> </w:t>
      </w:r>
      <w:r>
        <w:t>Tuttavia, nell’ambito della classe d’investimento</w:t>
      </w:r>
      <w:r w:rsidRPr="00180DBE">
        <w:t xml:space="preserve">, </w:t>
      </w:r>
      <w:r>
        <w:t>sono presenti</w:t>
      </w:r>
      <w:r w:rsidRPr="00180DBE">
        <w:t xml:space="preserve"> </w:t>
      </w:r>
      <w:r w:rsidR="003678C1">
        <w:t>alcune sfide</w:t>
      </w:r>
      <w:r w:rsidR="002147D6" w:rsidRPr="00980031">
        <w:t xml:space="preserve">. </w:t>
      </w:r>
      <w:r w:rsidR="00AF26EF" w:rsidRPr="00AF26EF">
        <w:t>Nel 2021 e 2022</w:t>
      </w:r>
      <w:r w:rsidR="00AF26EF">
        <w:t xml:space="preserve">, i default </w:t>
      </w:r>
      <w:r w:rsidR="00AF26EF" w:rsidRPr="00AF26EF">
        <w:t xml:space="preserve">erano </w:t>
      </w:r>
      <w:r w:rsidR="00AF26EF">
        <w:t>vicini</w:t>
      </w:r>
      <w:r w:rsidR="00AF26EF" w:rsidRPr="00AF26EF">
        <w:t xml:space="preserve"> allo zero. La sfida </w:t>
      </w:r>
      <w:r w:rsidR="00505293">
        <w:t>in grado di ridurre</w:t>
      </w:r>
      <w:r w:rsidR="00AF26EF" w:rsidRPr="00AF26EF">
        <w:t xml:space="preserve"> leggermente i rendimenti ne</w:t>
      </w:r>
      <w:r w:rsidR="00AF26EF">
        <w:t>l prossimo paio d’</w:t>
      </w:r>
      <w:r w:rsidR="00AF26EF" w:rsidRPr="00AF26EF">
        <w:t xml:space="preserve">anni </w:t>
      </w:r>
      <w:r w:rsidR="00505293">
        <w:t>consiste nel fatto</w:t>
      </w:r>
      <w:r w:rsidR="00AF26EF" w:rsidRPr="00AF26EF">
        <w:t xml:space="preserve"> che</w:t>
      </w:r>
      <w:r w:rsidR="00AF26EF">
        <w:t xml:space="preserve">, </w:t>
      </w:r>
      <w:r w:rsidR="00AF26EF" w:rsidRPr="00DD07F8">
        <w:rPr>
          <w:b/>
          <w:bCs/>
        </w:rPr>
        <w:t>secondo le previsioni, i default torneranno al range del 2,5-4%. Le società operano in un mondo con costi del capitale più elevati e potrebbero avere bilanci troppo tesi. Alcune potrebbero avere difficoltà a superare questo periodo.</w:t>
      </w:r>
    </w:p>
    <w:p w14:paraId="78B00F36" w14:textId="71B629AD" w:rsidR="001163D0" w:rsidRDefault="00F80FA1">
      <w:r>
        <w:rPr>
          <w:rFonts w:cstheme="minorHAnsi"/>
        </w:rPr>
        <w:t>È</w:t>
      </w:r>
      <w:r>
        <w:t xml:space="preserve"> giunto quindi il </w:t>
      </w:r>
      <w:r w:rsidR="001163D0" w:rsidRPr="001163D0">
        <w:t>momento</w:t>
      </w:r>
      <w:r>
        <w:t>,</w:t>
      </w:r>
      <w:r w:rsidR="001163D0" w:rsidRPr="001163D0">
        <w:t xml:space="preserve"> per i gestori attivi</w:t>
      </w:r>
      <w:r>
        <w:t>,</w:t>
      </w:r>
      <w:r w:rsidR="001163D0" w:rsidRPr="001163D0">
        <w:t xml:space="preserve"> di selezionare gli emittenti più </w:t>
      </w:r>
      <w:r w:rsidR="001163D0">
        <w:t>complicati</w:t>
      </w:r>
      <w:r w:rsidR="00121225">
        <w:t xml:space="preserve">, optando </w:t>
      </w:r>
      <w:r w:rsidR="001163D0">
        <w:t xml:space="preserve">per </w:t>
      </w:r>
      <w:r w:rsidR="00121225">
        <w:t>le scelte giuste nel</w:t>
      </w:r>
      <w:r w:rsidR="001163D0" w:rsidRPr="001163D0">
        <w:t xml:space="preserve"> credito. In un certo senso, </w:t>
      </w:r>
      <w:r w:rsidR="00CB41BC">
        <w:t>al fine di</w:t>
      </w:r>
      <w:r w:rsidR="001163D0" w:rsidRPr="001163D0">
        <w:t xml:space="preserve"> ottenere maggiori rendimenti nei portafogli</w:t>
      </w:r>
      <w:r w:rsidR="00CB41BC">
        <w:t>,</w:t>
      </w:r>
      <w:r w:rsidR="001163D0" w:rsidRPr="001163D0">
        <w:t xml:space="preserve"> è necessario individuare le </w:t>
      </w:r>
      <w:r w:rsidR="004675E9">
        <w:t>società</w:t>
      </w:r>
      <w:r w:rsidR="001163D0" w:rsidRPr="001163D0">
        <w:t xml:space="preserve"> su cui il mercato è incerto, ma che</w:t>
      </w:r>
      <w:r w:rsidR="00CB41BC">
        <w:t>,</w:t>
      </w:r>
      <w:r w:rsidR="001163D0" w:rsidRPr="001163D0">
        <w:t xml:space="preserve"> </w:t>
      </w:r>
      <w:r w:rsidR="00CB41BC">
        <w:t>da ultimo,</w:t>
      </w:r>
      <w:r w:rsidR="001163D0" w:rsidRPr="001163D0">
        <w:t xml:space="preserve"> ce la fanno, oppure quelle che vengono </w:t>
      </w:r>
      <w:r w:rsidR="004675E9">
        <w:t>negoziate</w:t>
      </w:r>
      <w:r w:rsidR="001163D0" w:rsidRPr="001163D0">
        <w:t xml:space="preserve"> </w:t>
      </w:r>
      <w:r w:rsidR="004675E9">
        <w:t>a</w:t>
      </w:r>
      <w:r w:rsidR="001163D0" w:rsidRPr="001163D0">
        <w:t xml:space="preserve"> forte sconto p</w:t>
      </w:r>
      <w:r w:rsidR="004675E9">
        <w:t>oiché</w:t>
      </w:r>
      <w:r w:rsidR="001163D0" w:rsidRPr="001163D0">
        <w:t xml:space="preserve"> gli investitori non vedono un chiaro percorso di </w:t>
      </w:r>
      <w:r w:rsidR="001163D0" w:rsidRPr="00D732E0">
        <w:t>rifinanziamento.</w:t>
      </w:r>
    </w:p>
    <w:p w14:paraId="11E98062" w14:textId="657496BC" w:rsidR="00CE6F27" w:rsidRDefault="004675E9" w:rsidP="00DD07F8">
      <w:r w:rsidRPr="004675E9">
        <w:t>Non c'è dubbio che gli investitori debbano farsi strada tra i vincitori e i perdenti nella parte d</w:t>
      </w:r>
      <w:r w:rsidR="00CB41BC">
        <w:t>el</w:t>
      </w:r>
      <w:r w:rsidRPr="004675E9">
        <w:t xml:space="preserve"> mercato </w:t>
      </w:r>
      <w:r w:rsidR="00CB41BC">
        <w:t>coi rating</w:t>
      </w:r>
      <w:r w:rsidRPr="004675E9">
        <w:t xml:space="preserve"> </w:t>
      </w:r>
      <w:r w:rsidR="00EB0B17">
        <w:t xml:space="preserve">più </w:t>
      </w:r>
      <w:r w:rsidRPr="004675E9">
        <w:t>bass</w:t>
      </w:r>
      <w:r w:rsidR="00CB41BC">
        <w:t>i</w:t>
      </w:r>
      <w:r w:rsidRPr="004675E9">
        <w:t>. I bilanci sono i principali indicatori d</w:t>
      </w:r>
      <w:r w:rsidR="0031667E">
        <w:t>i tale</w:t>
      </w:r>
      <w:r w:rsidR="00D732E0">
        <w:t xml:space="preserve"> </w:t>
      </w:r>
      <w:r w:rsidRPr="004675E9">
        <w:t xml:space="preserve">sfida e ciò si accompagna inevitabilmente a rating </w:t>
      </w:r>
      <w:r w:rsidR="00D05F4E">
        <w:t>inferiori</w:t>
      </w:r>
      <w:r w:rsidRPr="004675E9">
        <w:t>; pertanto</w:t>
      </w:r>
      <w:r w:rsidR="00DD07F8" w:rsidRPr="00DD07F8">
        <w:rPr>
          <w:b/>
          <w:bCs/>
        </w:rPr>
        <w:t>,</w:t>
      </w:r>
      <w:r w:rsidR="00D732E0" w:rsidRPr="00DD07F8">
        <w:rPr>
          <w:b/>
          <w:bCs/>
        </w:rPr>
        <w:t xml:space="preserve"> i titoli</w:t>
      </w:r>
      <w:r w:rsidRPr="00DD07F8">
        <w:rPr>
          <w:b/>
          <w:bCs/>
        </w:rPr>
        <w:t xml:space="preserve"> B e CCC </w:t>
      </w:r>
      <w:r w:rsidR="003E3581" w:rsidRPr="00DD07F8">
        <w:rPr>
          <w:b/>
          <w:bCs/>
        </w:rPr>
        <w:t xml:space="preserve">nella fascia </w:t>
      </w:r>
      <w:r w:rsidRPr="00DD07F8">
        <w:rPr>
          <w:b/>
          <w:bCs/>
        </w:rPr>
        <w:t>più bass</w:t>
      </w:r>
      <w:r w:rsidR="003E3581" w:rsidRPr="00DD07F8">
        <w:rPr>
          <w:b/>
          <w:bCs/>
        </w:rPr>
        <w:t>a</w:t>
      </w:r>
      <w:r w:rsidRPr="00DD07F8">
        <w:rPr>
          <w:b/>
          <w:bCs/>
        </w:rPr>
        <w:t xml:space="preserve"> sono quell</w:t>
      </w:r>
      <w:r w:rsidR="00D732E0" w:rsidRPr="00DD07F8">
        <w:rPr>
          <w:b/>
          <w:bCs/>
        </w:rPr>
        <w:t>i</w:t>
      </w:r>
      <w:r w:rsidRPr="00DD07F8">
        <w:rPr>
          <w:b/>
          <w:bCs/>
        </w:rPr>
        <w:t xml:space="preserve"> in cui oggi si registra un buon livello di sconto rispetto agli spread medi storici. </w:t>
      </w:r>
      <w:r w:rsidR="008C5641" w:rsidRPr="00DD07F8">
        <w:rPr>
          <w:b/>
          <w:bCs/>
        </w:rPr>
        <w:t>Rileviamo anche un certo sconto in alcune società di maggiore qualità in Europa.</w:t>
      </w:r>
      <w:r w:rsidR="008C5641" w:rsidRPr="008C5641">
        <w:t xml:space="preserve"> </w:t>
      </w:r>
      <w:r w:rsidR="008C5641" w:rsidRPr="00D96E1C">
        <w:t>Su base storica, alcuni titoli ibridi in Europa appaiono leggermente a buon mercato, ma</w:t>
      </w:r>
      <w:r w:rsidR="00165CDA">
        <w:t>,</w:t>
      </w:r>
      <w:r w:rsidR="008C5641" w:rsidRPr="00D96E1C">
        <w:t xml:space="preserve"> </w:t>
      </w:r>
      <w:r w:rsidR="00165CDA">
        <w:t>analizzandoli</w:t>
      </w:r>
      <w:r w:rsidR="008C5641" w:rsidRPr="00D96E1C">
        <w:t xml:space="preserve"> in relazione al livello di negoziazione delle scadenze fisse </w:t>
      </w:r>
      <w:r w:rsidR="00D96E1C">
        <w:t>per i titoli</w:t>
      </w:r>
      <w:r w:rsidR="008C5641" w:rsidRPr="00D96E1C">
        <w:t xml:space="preserve"> BBB e BB </w:t>
      </w:r>
      <w:r w:rsidR="00D96E1C">
        <w:t xml:space="preserve">di qualità elevata </w:t>
      </w:r>
      <w:r w:rsidR="008C5641" w:rsidRPr="00D96E1C">
        <w:t xml:space="preserve">su base globale, attualmente </w:t>
      </w:r>
      <w:r w:rsidR="00165CDA" w:rsidRPr="00D96E1C">
        <w:t xml:space="preserve">si nota </w:t>
      </w:r>
      <w:r w:rsidR="008C5641" w:rsidRPr="00D96E1C">
        <w:t xml:space="preserve">uno sconto significativo. Ciò ha molto a che fare con la proliferazione di veicoli, come i fondi a scadenza fissa, che non possono acquistare </w:t>
      </w:r>
      <w:r w:rsidR="00165CDA">
        <w:t>tali</w:t>
      </w:r>
      <w:r w:rsidR="008C5641" w:rsidRPr="00D96E1C">
        <w:t xml:space="preserve"> titoli ibridi, per cui si è </w:t>
      </w:r>
      <w:r w:rsidR="00D96E1C">
        <w:t>creato</w:t>
      </w:r>
      <w:r w:rsidR="008C5641" w:rsidRPr="00D96E1C">
        <w:t xml:space="preserve"> un differenziale </w:t>
      </w:r>
      <w:r w:rsidR="008C5641" w:rsidRPr="00F17701">
        <w:t>in questo spazio.</w:t>
      </w:r>
    </w:p>
    <w:p w14:paraId="02E34EF8" w14:textId="1681530F" w:rsidR="00AD65CB" w:rsidRPr="00DD07F8" w:rsidRDefault="00DD07F8" w:rsidP="00AD65CB">
      <w:pPr>
        <w:pStyle w:val="NormaleWeb"/>
        <w:rPr>
          <w:rFonts w:asciiTheme="minorHAnsi" w:eastAsiaTheme="minorEastAsia" w:hAnsiTheme="minorHAnsi" w:cstheme="minorBidi"/>
          <w:kern w:val="2"/>
          <w:sz w:val="22"/>
          <w:szCs w:val="22"/>
          <w:u w:val="single"/>
          <w:lang w:eastAsia="zh-CN"/>
          <w14:ligatures w14:val="standardContextual"/>
        </w:rPr>
      </w:pPr>
      <w:r w:rsidRPr="00DD07F8">
        <w:rPr>
          <w:rFonts w:asciiTheme="minorHAnsi" w:eastAsiaTheme="minorEastAsia" w:hAnsiTheme="minorHAnsi" w:cstheme="minorBidi"/>
          <w:kern w:val="2"/>
          <w:sz w:val="22"/>
          <w:szCs w:val="22"/>
          <w:u w:val="single"/>
          <w:lang w:eastAsia="zh-CN"/>
          <w14:ligatures w14:val="standardContextual"/>
        </w:rPr>
        <w:t xml:space="preserve">M&amp;A e nuove emissioni </w:t>
      </w:r>
      <w:r w:rsidR="00165CDA" w:rsidRPr="00DD07F8">
        <w:rPr>
          <w:rFonts w:asciiTheme="minorHAnsi" w:eastAsiaTheme="minorEastAsia" w:hAnsiTheme="minorHAnsi" w:cstheme="minorBidi"/>
          <w:kern w:val="2"/>
          <w:sz w:val="22"/>
          <w:szCs w:val="22"/>
          <w:u w:val="single"/>
          <w:lang w:eastAsia="zh-CN"/>
          <w14:ligatures w14:val="standardContextual"/>
        </w:rPr>
        <w:t>all'orizzonte</w:t>
      </w:r>
      <w:r w:rsidR="00CE6F27" w:rsidRPr="00DD07F8">
        <w:rPr>
          <w:rFonts w:asciiTheme="minorHAnsi" w:eastAsiaTheme="minorEastAsia" w:hAnsiTheme="minorHAnsi" w:cstheme="minorBidi"/>
          <w:kern w:val="2"/>
          <w:sz w:val="22"/>
          <w:szCs w:val="22"/>
          <w:u w:val="single"/>
          <w:lang w:eastAsia="zh-CN"/>
          <w14:ligatures w14:val="standardContextual"/>
        </w:rPr>
        <w:t xml:space="preserve"> </w:t>
      </w:r>
      <w:r>
        <w:rPr>
          <w:rFonts w:asciiTheme="minorHAnsi" w:eastAsiaTheme="minorEastAsia" w:hAnsiTheme="minorHAnsi" w:cstheme="minorBidi"/>
          <w:kern w:val="2"/>
          <w:sz w:val="22"/>
          <w:szCs w:val="22"/>
          <w:u w:val="single"/>
          <w:lang w:eastAsia="zh-CN"/>
          <w14:ligatures w14:val="standardContextual"/>
        </w:rPr>
        <w:br/>
      </w:r>
      <w:r w:rsidR="00CE6F27" w:rsidRPr="00CE6F27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>L'offerta di fusion</w:t>
      </w:r>
      <w:r w:rsidR="00CE6F27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>i e acquisizioni</w:t>
      </w:r>
      <w:r w:rsidR="00CE6F27" w:rsidRPr="00CE6F27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 </w:t>
      </w:r>
      <w:r w:rsidR="00165CDA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>costituisce</w:t>
      </w:r>
      <w:r w:rsidR="00CE6F27" w:rsidRPr="00CE6F27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 un grande fattore di oscillazione per il mercato high yield e, sebbene tale offerta non si sia ancora concretizzata, </w:t>
      </w:r>
      <w:r w:rsidR="003265EC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presenta, </w:t>
      </w:r>
      <w:r w:rsidR="003265EC" w:rsidRPr="00CE6F27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>nel corso dei prossimi due o tre trimestri</w:t>
      </w:r>
      <w:r w:rsidR="003265EC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, </w:t>
      </w:r>
      <w:r w:rsidR="00CE6F27" w:rsidRPr="00CE6F27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un </w:t>
      </w:r>
      <w:r w:rsidR="00CE6F27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>consistente</w:t>
      </w:r>
      <w:r w:rsidR="00CE6F27" w:rsidRPr="00CE6F27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 potenziale per influenzare il mercato.</w:t>
      </w:r>
      <w:r w:rsidRPr="00DD07F8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 </w:t>
      </w:r>
      <w:r w:rsidR="00AD65CB" w:rsidRPr="003265EC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Il </w:t>
      </w:r>
      <w:r w:rsidR="003265EC" w:rsidRPr="003265EC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>fulcro</w:t>
      </w:r>
      <w:r w:rsidR="00AD65CB" w:rsidRPr="003265EC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 dell</w:t>
      </w:r>
      <w:r w:rsidR="003265EC" w:rsidRPr="003265EC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>a potenziale</w:t>
      </w:r>
      <w:r w:rsidR="003265EC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 </w:t>
      </w:r>
      <w:r w:rsidR="00AD65CB" w:rsidRPr="003265EC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offerta è il private equity. </w:t>
      </w:r>
      <w:r w:rsidR="00AD65CB" w:rsidRPr="00DD07F8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zh-CN"/>
          <w14:ligatures w14:val="standardContextual"/>
        </w:rPr>
        <w:t xml:space="preserve">L'anno scorso, se gli sponsor </w:t>
      </w:r>
      <w:r w:rsidR="003265EC" w:rsidRPr="00DD07F8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zh-CN"/>
          <w14:ligatures w14:val="standardContextual"/>
        </w:rPr>
        <w:t>avessero voluto</w:t>
      </w:r>
      <w:r w:rsidR="00AD65CB" w:rsidRPr="00DD07F8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zh-CN"/>
          <w14:ligatures w14:val="standardContextual"/>
        </w:rPr>
        <w:t xml:space="preserve"> finanziare un leveraged buyout, avrebbero dovuto ipotizzare un costo del capitale dell'11% o del 12%.</w:t>
      </w:r>
      <w:r w:rsidRPr="00DD07F8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vertAlign w:val="superscript"/>
          <w:lang w:eastAsia="zh-CN"/>
          <w14:ligatures w14:val="standardContextual"/>
        </w:rPr>
        <w:t xml:space="preserve"> </w:t>
      </w:r>
      <w:r w:rsidR="00AD65CB" w:rsidRPr="00DD07F8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zh-CN"/>
          <w14:ligatures w14:val="standardContextual"/>
        </w:rPr>
        <w:t>Oggi</w:t>
      </w:r>
      <w:r w:rsidR="003265EC" w:rsidRPr="00DD07F8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zh-CN"/>
          <w14:ligatures w14:val="standardContextual"/>
        </w:rPr>
        <w:t>,</w:t>
      </w:r>
      <w:r w:rsidR="00AD65CB" w:rsidRPr="00DD07F8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zh-CN"/>
          <w14:ligatures w14:val="standardContextual"/>
        </w:rPr>
        <w:t xml:space="preserve"> gli investitori possono aspettarsi circa l'8% per una società di buona qualità. </w:t>
      </w:r>
      <w:r w:rsidR="00AD65CB" w:rsidRPr="00DD07F8">
        <w:rPr>
          <w:rFonts w:asciiTheme="minorHAnsi" w:eastAsiaTheme="minorEastAsia" w:hAnsiTheme="minorHAnsi" w:cstheme="minorHAnsi"/>
          <w:b/>
          <w:bCs/>
          <w:kern w:val="2"/>
          <w:sz w:val="22"/>
          <w:szCs w:val="22"/>
          <w:lang w:eastAsia="zh-CN"/>
          <w14:ligatures w14:val="standardContextual"/>
        </w:rPr>
        <w:t>È</w:t>
      </w:r>
      <w:r w:rsidR="00AD65CB" w:rsidRPr="00DD07F8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zh-CN"/>
          <w14:ligatures w14:val="standardContextual"/>
        </w:rPr>
        <w:t xml:space="preserve"> presente un</w:t>
      </w:r>
      <w:r w:rsidR="003265EC" w:rsidRPr="00DD07F8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zh-CN"/>
          <w14:ligatures w14:val="standardContextual"/>
        </w:rPr>
        <w:t>a potenziale</w:t>
      </w:r>
      <w:r w:rsidR="00AD65CB" w:rsidRPr="00DD07F8">
        <w:rPr>
          <w:rFonts w:asciiTheme="minorHAnsi" w:eastAsiaTheme="minorEastAsia" w:hAnsiTheme="minorHAnsi" w:cstheme="minorBidi"/>
          <w:b/>
          <w:bCs/>
          <w:kern w:val="2"/>
          <w:sz w:val="22"/>
          <w:szCs w:val="22"/>
          <w:lang w:eastAsia="zh-CN"/>
          <w14:ligatures w14:val="standardContextual"/>
        </w:rPr>
        <w:t xml:space="preserve"> ripresa dell'attività di fusione e acquisizione</w:t>
      </w:r>
      <w:r w:rsidR="00AD65CB" w:rsidRPr="00AD65CB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, semplicemente perché i costi di finanziamento sono diventati più </w:t>
      </w:r>
      <w:r w:rsidR="00AD65CB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>lineari</w:t>
      </w:r>
      <w:r w:rsidR="00AD65CB" w:rsidRPr="00AD65CB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 xml:space="preserve">, e questo può riportare un po' </w:t>
      </w:r>
      <w:r w:rsidR="00AD65CB" w:rsidRPr="003F014C">
        <w:rPr>
          <w:rFonts w:asciiTheme="minorHAnsi" w:eastAsiaTheme="minorEastAsia" w:hAnsiTheme="minorHAnsi" w:cstheme="minorBidi"/>
          <w:kern w:val="2"/>
          <w:sz w:val="22"/>
          <w:szCs w:val="22"/>
          <w:lang w:eastAsia="zh-CN"/>
          <w14:ligatures w14:val="standardContextual"/>
        </w:rPr>
        <w:t>di volumi.</w:t>
      </w:r>
    </w:p>
    <w:p w14:paraId="64168E29" w14:textId="33327E08" w:rsidR="002147D6" w:rsidRPr="0015082E" w:rsidRDefault="00167D76">
      <w:r w:rsidRPr="00167D76">
        <w:t xml:space="preserve">Altrove, </w:t>
      </w:r>
      <w:r w:rsidRPr="00DD07F8">
        <w:rPr>
          <w:b/>
          <w:bCs/>
        </w:rPr>
        <w:t xml:space="preserve">la ripresa del mercato primario </w:t>
      </w:r>
      <w:r w:rsidR="00E22828" w:rsidRPr="00DD07F8">
        <w:rPr>
          <w:b/>
          <w:bCs/>
        </w:rPr>
        <w:t>n</w:t>
      </w:r>
      <w:r w:rsidRPr="00DD07F8">
        <w:rPr>
          <w:b/>
          <w:bCs/>
        </w:rPr>
        <w:t xml:space="preserve">el comparto high yield ha </w:t>
      </w:r>
      <w:r w:rsidR="00E22828" w:rsidRPr="00DD07F8">
        <w:rPr>
          <w:b/>
          <w:bCs/>
        </w:rPr>
        <w:t>registrato</w:t>
      </w:r>
      <w:r w:rsidRPr="00DD07F8">
        <w:rPr>
          <w:b/>
          <w:bCs/>
        </w:rPr>
        <w:t xml:space="preserve"> un </w:t>
      </w:r>
      <w:r w:rsidR="00E22828" w:rsidRPr="00DD07F8">
        <w:rPr>
          <w:b/>
          <w:bCs/>
        </w:rPr>
        <w:t>avvio</w:t>
      </w:r>
      <w:r w:rsidRPr="00DD07F8">
        <w:rPr>
          <w:b/>
          <w:bCs/>
        </w:rPr>
        <w:t xml:space="preserve"> lento, ma si prevede </w:t>
      </w:r>
      <w:r w:rsidR="008D6552" w:rsidRPr="00DD07F8">
        <w:rPr>
          <w:b/>
          <w:bCs/>
        </w:rPr>
        <w:t>un suo ritorno</w:t>
      </w:r>
      <w:r w:rsidRPr="00DD07F8">
        <w:rPr>
          <w:b/>
          <w:bCs/>
        </w:rPr>
        <w:t xml:space="preserve"> durante l'anno</w:t>
      </w:r>
      <w:r w:rsidRPr="00167D76">
        <w:t xml:space="preserve">. Nel corso del tempo, le nuove emissioni </w:t>
      </w:r>
      <w:r>
        <w:t>incrementano i</w:t>
      </w:r>
      <w:r w:rsidRPr="00167D76">
        <w:t xml:space="preserve"> rendimenti</w:t>
      </w:r>
      <w:r w:rsidR="008D6552">
        <w:t xml:space="preserve">, </w:t>
      </w:r>
      <w:r w:rsidRPr="00167D76">
        <w:lastRenderedPageBreak/>
        <w:t xml:space="preserve">senza aggiungere </w:t>
      </w:r>
      <w:r w:rsidR="008D6552">
        <w:t xml:space="preserve">ulteriori </w:t>
      </w:r>
      <w:r w:rsidRPr="00167D76">
        <w:t xml:space="preserve">rischi significativi ai portafogli, e </w:t>
      </w:r>
      <w:r w:rsidR="008D6552">
        <w:t>occorre</w:t>
      </w:r>
      <w:r w:rsidRPr="00167D76">
        <w:t xml:space="preserve"> paga</w:t>
      </w:r>
      <w:r w:rsidR="008D6552">
        <w:t>re</w:t>
      </w:r>
      <w:r w:rsidRPr="00167D76">
        <w:t xml:space="preserve"> un premio per una nuova società che deve accedere al mercato.</w:t>
      </w:r>
      <w:r w:rsidR="00DD07F8">
        <w:t xml:space="preserve"> </w:t>
      </w:r>
      <w:r w:rsidR="008C5BB5" w:rsidRPr="008C5BB5">
        <w:t xml:space="preserve">Poiché le nuove emissioni sono </w:t>
      </w:r>
      <w:r w:rsidR="008C5BB5">
        <w:t>all’ordine del giorno</w:t>
      </w:r>
      <w:r w:rsidR="008C5BB5" w:rsidRPr="008C5BB5">
        <w:t xml:space="preserve">, ci stiamo impegnando in quest'area e ci assicuriamo di essere posizionati in modo </w:t>
      </w:r>
      <w:r w:rsidR="008D6552">
        <w:t xml:space="preserve">tale </w:t>
      </w:r>
      <w:r w:rsidR="008C5BB5" w:rsidRPr="008C5BB5">
        <w:t xml:space="preserve">da procurarci quelle che </w:t>
      </w:r>
      <w:r w:rsidR="008D6552">
        <w:t>desideriamo</w:t>
      </w:r>
      <w:r w:rsidR="008C5BB5" w:rsidRPr="008C5BB5">
        <w:t xml:space="preserve"> e ai livelli ottimali</w:t>
      </w:r>
      <w:r w:rsidR="002147D6" w:rsidRPr="0015082E">
        <w:t>.</w:t>
      </w:r>
    </w:p>
    <w:sectPr w:rsidR="002147D6" w:rsidRPr="00150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D6"/>
    <w:rsid w:val="001163D0"/>
    <w:rsid w:val="00121225"/>
    <w:rsid w:val="00134338"/>
    <w:rsid w:val="0015082E"/>
    <w:rsid w:val="00156B1F"/>
    <w:rsid w:val="00165CDA"/>
    <w:rsid w:val="00167D76"/>
    <w:rsid w:val="00180DBE"/>
    <w:rsid w:val="001C1703"/>
    <w:rsid w:val="001C1BC9"/>
    <w:rsid w:val="001F26CD"/>
    <w:rsid w:val="00213641"/>
    <w:rsid w:val="002147D6"/>
    <w:rsid w:val="002A20EC"/>
    <w:rsid w:val="0031667E"/>
    <w:rsid w:val="003265EC"/>
    <w:rsid w:val="00326BF8"/>
    <w:rsid w:val="003678C1"/>
    <w:rsid w:val="003A7071"/>
    <w:rsid w:val="003E3581"/>
    <w:rsid w:val="003F014C"/>
    <w:rsid w:val="004518DC"/>
    <w:rsid w:val="004675E9"/>
    <w:rsid w:val="004E28CD"/>
    <w:rsid w:val="004F6D92"/>
    <w:rsid w:val="00505293"/>
    <w:rsid w:val="00597567"/>
    <w:rsid w:val="005A5945"/>
    <w:rsid w:val="005D5F6A"/>
    <w:rsid w:val="007A55F4"/>
    <w:rsid w:val="00897245"/>
    <w:rsid w:val="008C5641"/>
    <w:rsid w:val="008C5BB5"/>
    <w:rsid w:val="008D6552"/>
    <w:rsid w:val="00937A39"/>
    <w:rsid w:val="00980031"/>
    <w:rsid w:val="00A501AC"/>
    <w:rsid w:val="00A62327"/>
    <w:rsid w:val="00A63C40"/>
    <w:rsid w:val="00A71ADB"/>
    <w:rsid w:val="00A7469D"/>
    <w:rsid w:val="00A94EE6"/>
    <w:rsid w:val="00AD65CB"/>
    <w:rsid w:val="00AE0F8D"/>
    <w:rsid w:val="00AF26EF"/>
    <w:rsid w:val="00BD3A4D"/>
    <w:rsid w:val="00BE3270"/>
    <w:rsid w:val="00C03843"/>
    <w:rsid w:val="00CB41BC"/>
    <w:rsid w:val="00CC5D53"/>
    <w:rsid w:val="00CE6F27"/>
    <w:rsid w:val="00D05F4E"/>
    <w:rsid w:val="00D732E0"/>
    <w:rsid w:val="00D96E1C"/>
    <w:rsid w:val="00DD07F8"/>
    <w:rsid w:val="00E22828"/>
    <w:rsid w:val="00E56826"/>
    <w:rsid w:val="00E966ED"/>
    <w:rsid w:val="00EB0B17"/>
    <w:rsid w:val="00EC5936"/>
    <w:rsid w:val="00F17701"/>
    <w:rsid w:val="00F80FA1"/>
    <w:rsid w:val="00F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E195"/>
  <w15:chartTrackingRefBased/>
  <w15:docId w15:val="{8B870EB9-4947-4B93-9685-86E4223D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3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zonta</dc:creator>
  <cp:keywords/>
  <dc:description/>
  <cp:lastModifiedBy>Massimo Morici</cp:lastModifiedBy>
  <cp:revision>5</cp:revision>
  <dcterms:created xsi:type="dcterms:W3CDTF">2024-04-24T08:18:00Z</dcterms:created>
  <dcterms:modified xsi:type="dcterms:W3CDTF">2024-04-24T08:30:00Z</dcterms:modified>
</cp:coreProperties>
</file>