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1F89C" w14:textId="77777777" w:rsidR="00DB7A32" w:rsidRDefault="005D3748">
      <w:pPr>
        <w:jc w:val="center"/>
        <w:rPr>
          <w:b/>
          <w:i/>
          <w:sz w:val="30"/>
          <w:szCs w:val="30"/>
          <w:highlight w:val="white"/>
        </w:rPr>
      </w:pPr>
      <w:r>
        <w:rPr>
          <w:b/>
          <w:i/>
          <w:sz w:val="30"/>
          <w:szCs w:val="30"/>
        </w:rPr>
        <w:t xml:space="preserve">INITIAL LANCIA DIGNITY: UN SERVIZIO DI INSTALLAZIONE E RIFORNIMENTO DI DISTRIBUTORI DI ASSORBENTI. UN’INDAGINE CONDOTTA DALL’AZIENDA SVELA I PREGIUDIZI DEGLI ITALIANI SUL </w:t>
      </w:r>
      <w:r>
        <w:rPr>
          <w:b/>
          <w:i/>
          <w:sz w:val="30"/>
          <w:szCs w:val="30"/>
          <w:highlight w:val="white"/>
        </w:rPr>
        <w:t>TEMA.</w:t>
      </w:r>
    </w:p>
    <w:p w14:paraId="728B53B5" w14:textId="77777777" w:rsidR="00DB7A32" w:rsidRDefault="00DB7A32">
      <w:pPr>
        <w:jc w:val="center"/>
        <w:rPr>
          <w:b/>
          <w:i/>
          <w:sz w:val="30"/>
          <w:szCs w:val="30"/>
        </w:rPr>
      </w:pPr>
    </w:p>
    <w:p w14:paraId="66173B31" w14:textId="3B9A22A5" w:rsidR="00DB7A32" w:rsidRDefault="005D3748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Esistono ancora tabù legati al mondo del ciclo femminile? E al libero accesso agli assorbenti? Qual è la percezione maschile su questa tematica? L’azienda leader mondiale nell’offrire servizi e soluzioni per l'igiene ed il benessere fuori casa indaga sull’argomento con una ricerca dedicata.</w:t>
      </w:r>
    </w:p>
    <w:p w14:paraId="2446AB22" w14:textId="77777777" w:rsidR="00DB7A32" w:rsidRDefault="00DB7A32">
      <w:pPr>
        <w:jc w:val="center"/>
        <w:rPr>
          <w:b/>
          <w:i/>
          <w:sz w:val="30"/>
          <w:szCs w:val="30"/>
        </w:rPr>
      </w:pPr>
    </w:p>
    <w:p w14:paraId="461FF325" w14:textId="45D94789" w:rsidR="00DB7A32" w:rsidRDefault="005D3748">
      <w:pPr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Milano, </w:t>
      </w:r>
      <w:r w:rsidR="00107EC6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107EC6">
        <w:rPr>
          <w:i/>
          <w:sz w:val="22"/>
          <w:szCs w:val="22"/>
        </w:rPr>
        <w:t>aprile</w:t>
      </w:r>
      <w:r>
        <w:rPr>
          <w:i/>
          <w:sz w:val="22"/>
          <w:szCs w:val="22"/>
        </w:rPr>
        <w:t xml:space="preserve"> 2024 </w:t>
      </w:r>
      <w:r>
        <w:rPr>
          <w:sz w:val="22"/>
          <w:szCs w:val="22"/>
        </w:rPr>
        <w:t>–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1 donna su 3 prova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imbarazzo</w:t>
      </w:r>
      <w:r>
        <w:rPr>
          <w:sz w:val="22"/>
          <w:szCs w:val="22"/>
        </w:rPr>
        <w:t xml:space="preserve"> a parlare pubblicamente del ciclo ed il 25% degli uomini non è a suo agio nel confrontarsi su questo argomento. Questi sono solo alcuni dei risultati emersi dalla </w:t>
      </w:r>
      <w:r>
        <w:rPr>
          <w:b/>
          <w:sz w:val="22"/>
          <w:szCs w:val="22"/>
        </w:rPr>
        <w:t>ricerca sul tema del ciclo mestruale</w:t>
      </w:r>
      <w:r w:rsidR="00B97D38">
        <w:rPr>
          <w:rStyle w:val="Rimandonotaapidipagina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commissionata da </w:t>
      </w:r>
      <w:proofErr w:type="spellStart"/>
      <w:r>
        <w:rPr>
          <w:b/>
          <w:sz w:val="22"/>
          <w:szCs w:val="22"/>
        </w:rPr>
        <w:t>Initial</w:t>
      </w:r>
      <w:proofErr w:type="spellEnd"/>
      <w:r>
        <w:rPr>
          <w:b/>
          <w:sz w:val="22"/>
          <w:szCs w:val="22"/>
        </w:rPr>
        <w:t xml:space="preserve">, azienda leader mondiale </w:t>
      </w:r>
      <w:r>
        <w:rPr>
          <w:sz w:val="22"/>
          <w:szCs w:val="22"/>
        </w:rPr>
        <w:t>nell’offrire servizi e soluzioni per l'</w:t>
      </w:r>
      <w:r>
        <w:rPr>
          <w:b/>
          <w:sz w:val="22"/>
          <w:szCs w:val="22"/>
        </w:rPr>
        <w:t xml:space="preserve">igiene </w:t>
      </w:r>
      <w:r>
        <w:rPr>
          <w:sz w:val="22"/>
          <w:szCs w:val="22"/>
        </w:rPr>
        <w:t>ed il</w:t>
      </w:r>
      <w:r>
        <w:rPr>
          <w:b/>
          <w:sz w:val="22"/>
          <w:szCs w:val="22"/>
        </w:rPr>
        <w:t xml:space="preserve"> benessere fuori casa</w:t>
      </w:r>
      <w:r>
        <w:rPr>
          <w:sz w:val="22"/>
          <w:szCs w:val="22"/>
        </w:rPr>
        <w:t xml:space="preserve">, per il lancio di </w:t>
      </w:r>
      <w:proofErr w:type="spellStart"/>
      <w:r>
        <w:rPr>
          <w:b/>
          <w:sz w:val="22"/>
          <w:szCs w:val="22"/>
        </w:rPr>
        <w:t>Dignity</w:t>
      </w:r>
      <w:proofErr w:type="spellEnd"/>
      <w:r>
        <w:rPr>
          <w:b/>
          <w:sz w:val="22"/>
          <w:szCs w:val="22"/>
        </w:rPr>
        <w:t>.</w:t>
      </w:r>
    </w:p>
    <w:p w14:paraId="52BFAA55" w14:textId="2DB495C7" w:rsidR="00DB7A32" w:rsidRDefault="005D374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servizio è stato sviluppato per rispondere alla sempre più emergente richiesta di avere libero accesso agli assorbenti e </w:t>
      </w:r>
      <w:r w:rsidR="00A019F1">
        <w:rPr>
          <w:sz w:val="22"/>
          <w:szCs w:val="22"/>
        </w:rPr>
        <w:t>ad</w:t>
      </w:r>
      <w:r>
        <w:rPr>
          <w:sz w:val="22"/>
          <w:szCs w:val="22"/>
        </w:rPr>
        <w:t xml:space="preserve"> altre soluzioni di supporto alla gestione del ciclo mestruale. Questo servizio prevede l'installazione di distributori per l’erogazione di assorbenti all'interno dei bagni femminili e la fornitura periodica degli stessi. Le aziende, gli esercizi commerciali e le istituzioni che sceglieranno di acquistare il nuovo servizio </w:t>
      </w:r>
      <w:proofErr w:type="spellStart"/>
      <w:r>
        <w:rPr>
          <w:sz w:val="22"/>
          <w:szCs w:val="22"/>
        </w:rPr>
        <w:t>Dignity</w:t>
      </w:r>
      <w:proofErr w:type="spellEnd"/>
      <w:r>
        <w:rPr>
          <w:sz w:val="22"/>
          <w:szCs w:val="22"/>
        </w:rPr>
        <w:t xml:space="preserve"> potranno quindi mettere a disposizione delle proprie utenti dei</w:t>
      </w:r>
      <w:r>
        <w:t xml:space="preserve"> </w:t>
      </w:r>
      <w:r>
        <w:rPr>
          <w:sz w:val="22"/>
          <w:szCs w:val="22"/>
        </w:rPr>
        <w:t xml:space="preserve">dispenser che consentiranno il </w:t>
      </w:r>
      <w:r>
        <w:rPr>
          <w:b/>
          <w:sz w:val="22"/>
          <w:szCs w:val="22"/>
        </w:rPr>
        <w:t>libero accesso agli assorbenti</w:t>
      </w:r>
      <w:r>
        <w:rPr>
          <w:sz w:val="22"/>
          <w:szCs w:val="22"/>
        </w:rPr>
        <w:t>.</w:t>
      </w:r>
    </w:p>
    <w:p w14:paraId="1DF65B31" w14:textId="77777777" w:rsidR="00DB7A32" w:rsidRDefault="00DB7A32">
      <w:pPr>
        <w:jc w:val="both"/>
        <w:rPr>
          <w:sz w:val="22"/>
          <w:szCs w:val="22"/>
        </w:rPr>
      </w:pPr>
    </w:p>
    <w:p w14:paraId="0F153840" w14:textId="77777777" w:rsidR="00DB7A32" w:rsidRDefault="005D3748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IL NUOVO SERVIZIO DIGNITY DI INITIAL</w:t>
      </w:r>
    </w:p>
    <w:p w14:paraId="3C1BB3BC" w14:textId="77777777" w:rsidR="00DB7A32" w:rsidRDefault="00DB7A32">
      <w:pPr>
        <w:jc w:val="both"/>
        <w:rPr>
          <w:sz w:val="22"/>
          <w:szCs w:val="22"/>
        </w:rPr>
      </w:pPr>
    </w:p>
    <w:p w14:paraId="0DCB0DE3" w14:textId="77777777" w:rsidR="00DB7A32" w:rsidRDefault="005D3748">
      <w:pPr>
        <w:jc w:val="both"/>
        <w:rPr>
          <w:sz w:val="22"/>
          <w:szCs w:val="22"/>
          <w:highlight w:val="yellow"/>
        </w:rPr>
      </w:pPr>
      <w:r>
        <w:rPr>
          <w:b/>
          <w:sz w:val="22"/>
          <w:szCs w:val="22"/>
        </w:rPr>
        <w:t xml:space="preserve">Il servizio </w:t>
      </w:r>
      <w:proofErr w:type="spellStart"/>
      <w:r>
        <w:rPr>
          <w:b/>
          <w:sz w:val="22"/>
          <w:szCs w:val="22"/>
        </w:rPr>
        <w:t>Dignity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promosso con la campagna “</w:t>
      </w:r>
      <w:r>
        <w:rPr>
          <w:b/>
          <w:i/>
          <w:sz w:val="22"/>
          <w:szCs w:val="22"/>
        </w:rPr>
        <w:t>Al tuo fianco, ciclo dopo ciclo</w:t>
      </w:r>
      <w:r>
        <w:rPr>
          <w:sz w:val="22"/>
          <w:szCs w:val="22"/>
        </w:rPr>
        <w:t xml:space="preserve">” – è stato pensato per garantire il benessere delle donne in ogni momento della loro giornata, con l’obiettivo di normalizzare cicli naturali (come quello mestruale) e consentire la gestione di eventuali emergenze anche fuori dall'ambiente domestico. L'introduzione di questo servizio rafforza il posizionamento di </w:t>
      </w:r>
      <w:proofErr w:type="spellStart"/>
      <w:r>
        <w:rPr>
          <w:sz w:val="22"/>
          <w:szCs w:val="22"/>
        </w:rPr>
        <w:t>Initial</w:t>
      </w:r>
      <w:proofErr w:type="spellEnd"/>
      <w:r>
        <w:rPr>
          <w:sz w:val="22"/>
          <w:szCs w:val="22"/>
        </w:rPr>
        <w:t xml:space="preserve"> come esperto di igiene a 360 gradi, ampliando la gamma di soluzioni proposte per accompagnare l’utente in ogni fase della vita fuori casa. Il nuovo lancio, inoltre, sostiene la nuova mission aziendale “</w:t>
      </w:r>
      <w:proofErr w:type="spellStart"/>
      <w:r>
        <w:rPr>
          <w:b/>
          <w:sz w:val="22"/>
          <w:szCs w:val="22"/>
        </w:rPr>
        <w:t>Protecting</w:t>
      </w:r>
      <w:proofErr w:type="spellEnd"/>
      <w:r>
        <w:rPr>
          <w:b/>
          <w:sz w:val="22"/>
          <w:szCs w:val="22"/>
        </w:rPr>
        <w:t xml:space="preserve"> People. </w:t>
      </w:r>
      <w:proofErr w:type="spellStart"/>
      <w:r>
        <w:rPr>
          <w:b/>
          <w:sz w:val="22"/>
          <w:szCs w:val="22"/>
        </w:rPr>
        <w:t>Enhancing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lives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Preserving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our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planet</w:t>
      </w:r>
      <w:proofErr w:type="spellEnd"/>
      <w:r>
        <w:rPr>
          <w:sz w:val="22"/>
          <w:szCs w:val="22"/>
        </w:rPr>
        <w:t>” attraverso un’azione reale che protegge le persone e ne migliora la vita, promuovendo un benessere globale e di conseguenza un futuro migliore per tutti.</w:t>
      </w:r>
    </w:p>
    <w:p w14:paraId="41E08818" w14:textId="77777777" w:rsidR="00DB7A32" w:rsidRDefault="00DB7A32">
      <w:pPr>
        <w:jc w:val="both"/>
        <w:rPr>
          <w:sz w:val="22"/>
          <w:szCs w:val="22"/>
        </w:rPr>
      </w:pPr>
    </w:p>
    <w:p w14:paraId="5DD1D742" w14:textId="77777777" w:rsidR="00DB7A32" w:rsidRDefault="005D3748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LA RICERCA</w:t>
      </w:r>
    </w:p>
    <w:p w14:paraId="563BF74F" w14:textId="77777777" w:rsidR="00DB7A32" w:rsidRDefault="00DB7A32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58B86F6" w14:textId="77777777" w:rsidR="00DB7A32" w:rsidRDefault="005D37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che modo gli italiani si approcciano all’argomento del </w:t>
      </w:r>
      <w:r>
        <w:rPr>
          <w:b/>
          <w:sz w:val="22"/>
          <w:szCs w:val="22"/>
        </w:rPr>
        <w:t>ciclo mestruale</w:t>
      </w:r>
      <w:r>
        <w:rPr>
          <w:sz w:val="22"/>
          <w:szCs w:val="22"/>
        </w:rPr>
        <w:t xml:space="preserve">? Quanto le donne si sentono libere e sicure di parlarne? Che percezione hanno gli uomini dell’argomento e come ne parlano? Interessanti i dati emersi dalla ricerca commissionata da </w:t>
      </w:r>
      <w:proofErr w:type="spellStart"/>
      <w:r>
        <w:rPr>
          <w:sz w:val="22"/>
          <w:szCs w:val="22"/>
        </w:rPr>
        <w:t>Initial</w:t>
      </w:r>
      <w:proofErr w:type="spellEnd"/>
      <w:r>
        <w:rPr>
          <w:sz w:val="22"/>
          <w:szCs w:val="22"/>
        </w:rPr>
        <w:t xml:space="preserve"> che indaga, su un campione sia femminile che maschile, gli stigmi del ciclo e l’influenza che quest’ultimo ha sul tema bullismo, oltre a tematiche di attualità come la Tampon Tax e il </w:t>
      </w:r>
      <w:proofErr w:type="spellStart"/>
      <w:r>
        <w:rPr>
          <w:sz w:val="22"/>
          <w:szCs w:val="22"/>
        </w:rPr>
        <w:t>Period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Poverty</w:t>
      </w:r>
      <w:proofErr w:type="spellEnd"/>
      <w:r>
        <w:rPr>
          <w:sz w:val="22"/>
          <w:szCs w:val="22"/>
        </w:rPr>
        <w:t>.</w:t>
      </w:r>
    </w:p>
    <w:p w14:paraId="64C56F78" w14:textId="77777777" w:rsidR="00DB7A32" w:rsidRDefault="00DB7A32">
      <w:pPr>
        <w:jc w:val="both"/>
        <w:rPr>
          <w:sz w:val="22"/>
          <w:szCs w:val="22"/>
        </w:rPr>
      </w:pPr>
    </w:p>
    <w:p w14:paraId="05524236" w14:textId="77777777" w:rsidR="00DB7A32" w:rsidRDefault="005D374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In Italia, dal 1° gennaio 2024 la </w:t>
      </w:r>
      <w:r>
        <w:rPr>
          <w:b/>
          <w:i/>
          <w:sz w:val="22"/>
          <w:szCs w:val="22"/>
        </w:rPr>
        <w:t>Tampon Tax</w:t>
      </w:r>
      <w:r>
        <w:rPr>
          <w:sz w:val="22"/>
          <w:szCs w:val="22"/>
        </w:rPr>
        <w:t xml:space="preserve">, ovvero l’aliquota IVA che si applica agli assorbenti, è passata dal 5% al 10% riaccendendo i riflettori sulla tematica della cosiddetta </w:t>
      </w:r>
      <w:proofErr w:type="spellStart"/>
      <w:r>
        <w:rPr>
          <w:b/>
          <w:i/>
          <w:sz w:val="22"/>
          <w:szCs w:val="22"/>
        </w:rPr>
        <w:t>Period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Poverty</w:t>
      </w:r>
      <w:proofErr w:type="spellEnd"/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Gli italiani intervistati ritengono ingiusta questa misura</w:t>
      </w:r>
      <w:r>
        <w:rPr>
          <w:sz w:val="22"/>
          <w:szCs w:val="22"/>
        </w:rPr>
        <w:t xml:space="preserve"> ed 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risultati emersi dalla ricerca mostrano un accordo tra donne (82%) e uomini (71%). Continuando a parlare degli aspetti economici, quanto impatta ogni mese avere il ciclo? La spesa mensile per l’acquisto degli assorbenti raggiunge il costo di circa €10 al mese a persona ed è considerata molto alta per le </w:t>
      </w:r>
      <w:r>
        <w:rPr>
          <w:b/>
          <w:sz w:val="22"/>
          <w:szCs w:val="22"/>
        </w:rPr>
        <w:t xml:space="preserve">giovanissime (30%). </w:t>
      </w:r>
      <w:r>
        <w:rPr>
          <w:sz w:val="22"/>
          <w:szCs w:val="22"/>
        </w:rPr>
        <w:t>L’aumento della Tampon Tax, inoltre, pesa considerevolmente sul paniere della spesa soprattutto delle</w:t>
      </w:r>
      <w:r>
        <w:rPr>
          <w:b/>
          <w:sz w:val="22"/>
          <w:szCs w:val="22"/>
        </w:rPr>
        <w:t xml:space="preserve"> donne che risiedono nel Sud Italia e nelle Isole (76%).</w:t>
      </w:r>
    </w:p>
    <w:p w14:paraId="3FC2CF82" w14:textId="77777777" w:rsidR="00DB7A32" w:rsidRDefault="00DB7A32">
      <w:pPr>
        <w:jc w:val="both"/>
        <w:rPr>
          <w:b/>
          <w:sz w:val="22"/>
          <w:szCs w:val="22"/>
        </w:rPr>
      </w:pPr>
    </w:p>
    <w:p w14:paraId="2F9F896A" w14:textId="0695E1E4" w:rsidR="00DB7A32" w:rsidRDefault="005D374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C’è libertà nel parlare di ciclo? Per le donne intervistate il rapporto con il proprio ciclo mestruale non è sempre facile; </w:t>
      </w:r>
      <w:r>
        <w:rPr>
          <w:b/>
          <w:sz w:val="22"/>
          <w:szCs w:val="22"/>
        </w:rPr>
        <w:t>il 72% delle italiane dichiara di sentirsi libera di parlarne</w:t>
      </w:r>
      <w:r>
        <w:rPr>
          <w:sz w:val="22"/>
          <w:szCs w:val="22"/>
        </w:rPr>
        <w:t xml:space="preserve">, anche se questa conquista è direttamente proporzionale all’aumentare dell’età delle rispondenti: </w:t>
      </w:r>
      <w:r>
        <w:rPr>
          <w:b/>
          <w:sz w:val="22"/>
          <w:szCs w:val="22"/>
        </w:rPr>
        <w:t>tra le ragazze più giovani (16-18 anni) solo il 61% ne parla</w:t>
      </w:r>
      <w:r>
        <w:rPr>
          <w:sz w:val="22"/>
          <w:szCs w:val="22"/>
        </w:rPr>
        <w:t xml:space="preserve">. Dal sondaggio emerge anche che chi abita in grandi città altamente urbanizzate (con una popolazione superiore a 250.000 abitanti) è più predisposto a non vivere il ciclo come un tabù. Lo stesso dato mostra al contempo una latente difficoltà nel vivere con disinvoltura il proprio ciclo mestruale: </w:t>
      </w:r>
      <w:r>
        <w:rPr>
          <w:b/>
          <w:sz w:val="22"/>
          <w:szCs w:val="22"/>
        </w:rPr>
        <w:t>circa 1 donna su 3 dichiara di provare imbarazzo nell’ammettere di avere il ciclo in presenza di altri.</w:t>
      </w:r>
      <w:r>
        <w:rPr>
          <w:sz w:val="22"/>
          <w:szCs w:val="22"/>
        </w:rPr>
        <w:t xml:space="preserve"> </w:t>
      </w:r>
    </w:p>
    <w:p w14:paraId="16678386" w14:textId="77777777" w:rsidR="00DB7A32" w:rsidRDefault="00DB7A32">
      <w:pPr>
        <w:jc w:val="both"/>
        <w:rPr>
          <w:sz w:val="22"/>
          <w:szCs w:val="22"/>
        </w:rPr>
      </w:pPr>
    </w:p>
    <w:p w14:paraId="1C2D6142" w14:textId="77777777" w:rsidR="00DB7A32" w:rsidRDefault="005D3748">
      <w:pPr>
        <w:jc w:val="both"/>
        <w:rPr>
          <w:sz w:val="22"/>
          <w:szCs w:val="22"/>
        </w:rPr>
      </w:pPr>
      <w:r>
        <w:rPr>
          <w:sz w:val="22"/>
          <w:szCs w:val="22"/>
        </w:rPr>
        <w:t>Un imbarazzo che si evince sempre di più nell’età dell'adolescenza, spesso la più difficile. Proprio durante questo periodo, è possibile subire “</w:t>
      </w:r>
      <w:proofErr w:type="spellStart"/>
      <w:r>
        <w:rPr>
          <w:b/>
          <w:i/>
          <w:sz w:val="22"/>
          <w:szCs w:val="22"/>
        </w:rPr>
        <w:t>Period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Shaming</w:t>
      </w:r>
      <w:proofErr w:type="spellEnd"/>
      <w:r>
        <w:rPr>
          <w:sz w:val="22"/>
          <w:szCs w:val="22"/>
        </w:rPr>
        <w:t>”, una forma di bullismo</w:t>
      </w:r>
      <w:r>
        <w:t xml:space="preserve"> </w:t>
      </w:r>
      <w:r>
        <w:rPr>
          <w:sz w:val="22"/>
          <w:szCs w:val="22"/>
        </w:rPr>
        <w:t xml:space="preserve">legata alla manifestazione di possibili disagi derivanti dal ciclo mestruale. Tra le intervistate </w:t>
      </w:r>
      <w:r>
        <w:rPr>
          <w:b/>
          <w:sz w:val="22"/>
          <w:szCs w:val="22"/>
        </w:rPr>
        <w:t xml:space="preserve">più giovani, </w:t>
      </w:r>
      <w:r>
        <w:rPr>
          <w:sz w:val="22"/>
          <w:szCs w:val="22"/>
        </w:rPr>
        <w:t xml:space="preserve">il </w:t>
      </w:r>
      <w:r>
        <w:rPr>
          <w:b/>
          <w:sz w:val="22"/>
          <w:szCs w:val="22"/>
        </w:rPr>
        <w:t>27% ha subito prese in giro legate al ciclo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Nella maggioranza dei casi (65%), sono state persone di sesso maschile a mettere in ridicolo le donne in questo particolare momento</w:t>
      </w:r>
      <w:r>
        <w:rPr>
          <w:sz w:val="22"/>
          <w:szCs w:val="22"/>
        </w:rPr>
        <w:t xml:space="preserve">. Tuttavia, il sondaggio mostra come non siano mancate </w:t>
      </w:r>
      <w:r>
        <w:rPr>
          <w:b/>
          <w:sz w:val="22"/>
          <w:szCs w:val="22"/>
        </w:rPr>
        <w:t>le derisioni da parte anche di altre donne (38%)</w:t>
      </w:r>
      <w:r>
        <w:rPr>
          <w:sz w:val="22"/>
          <w:szCs w:val="22"/>
        </w:rPr>
        <w:t xml:space="preserve">. </w:t>
      </w:r>
    </w:p>
    <w:p w14:paraId="13F8CF96" w14:textId="77777777" w:rsidR="00DB7A32" w:rsidRDefault="00DB7A32">
      <w:pPr>
        <w:jc w:val="both"/>
        <w:rPr>
          <w:sz w:val="22"/>
          <w:szCs w:val="22"/>
        </w:rPr>
      </w:pPr>
    </w:p>
    <w:p w14:paraId="4B406038" w14:textId="77777777" w:rsidR="00DB7A32" w:rsidRDefault="005D37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 in tutto questo, qual è il punto di vista degli uomini? Il 66% delle italiane pensa che il sesso maschile abbia difficoltà a rapportarsi con il ciclo mestruale, un sentimento comprovato anche dai risultati della ricerca. Infatti, </w:t>
      </w:r>
      <w:r>
        <w:rPr>
          <w:b/>
          <w:sz w:val="22"/>
          <w:szCs w:val="22"/>
        </w:rPr>
        <w:t xml:space="preserve">oltre il 26% </w:t>
      </w:r>
      <w:r>
        <w:rPr>
          <w:sz w:val="22"/>
          <w:szCs w:val="22"/>
        </w:rPr>
        <w:t>degli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italiani intervistati</w:t>
      </w:r>
      <w:r>
        <w:rPr>
          <w:b/>
          <w:sz w:val="22"/>
          <w:szCs w:val="22"/>
        </w:rPr>
        <w:t xml:space="preserve"> ammette di non essere a proprio agio con il ciclo femminile</w:t>
      </w:r>
      <w:r>
        <w:rPr>
          <w:sz w:val="22"/>
          <w:szCs w:val="22"/>
        </w:rPr>
        <w:t xml:space="preserve">: il </w:t>
      </w:r>
      <w:r>
        <w:rPr>
          <w:b/>
          <w:sz w:val="22"/>
          <w:szCs w:val="22"/>
        </w:rPr>
        <w:t>17% dichiara di non avere mai trattato l’argomento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mentre il 9% ha addirittura sempre evitato di discuterne</w:t>
      </w:r>
      <w:r>
        <w:rPr>
          <w:sz w:val="22"/>
          <w:szCs w:val="22"/>
        </w:rPr>
        <w:t xml:space="preserve">. La situazione è accentuata tra i più giovani: il 54% del totale degli intervistati si dichiara in imbarazzo a parlare di mestruazioni, oppure non l’ha mai fatto. </w:t>
      </w:r>
    </w:p>
    <w:p w14:paraId="7FB81D0E" w14:textId="77777777" w:rsidR="00DB7A32" w:rsidRDefault="00DB7A32">
      <w:pPr>
        <w:jc w:val="both"/>
        <w:rPr>
          <w:sz w:val="22"/>
          <w:szCs w:val="22"/>
        </w:rPr>
      </w:pPr>
    </w:p>
    <w:p w14:paraId="553FA4AF" w14:textId="77777777" w:rsidR="00DB7A32" w:rsidRDefault="005D37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questo panorama </w:t>
      </w:r>
      <w:proofErr w:type="spellStart"/>
      <w:r>
        <w:rPr>
          <w:sz w:val="22"/>
          <w:szCs w:val="22"/>
        </w:rPr>
        <w:t>Initial</w:t>
      </w:r>
      <w:proofErr w:type="spellEnd"/>
      <w:r>
        <w:rPr>
          <w:sz w:val="22"/>
          <w:szCs w:val="22"/>
        </w:rPr>
        <w:t xml:space="preserve"> fornisce una soluzione concreta, consentendo alle aziende che sceglieranno di acquistare il nuovo servizio </w:t>
      </w:r>
      <w:proofErr w:type="spellStart"/>
      <w:r>
        <w:rPr>
          <w:sz w:val="22"/>
          <w:szCs w:val="22"/>
        </w:rPr>
        <w:t>Dignity</w:t>
      </w:r>
      <w:proofErr w:type="spellEnd"/>
      <w:r>
        <w:rPr>
          <w:sz w:val="22"/>
          <w:szCs w:val="22"/>
        </w:rPr>
        <w:t xml:space="preserve"> di garantire alle proprie utenti il libero accesso agli assorbenti. </w:t>
      </w:r>
      <w:proofErr w:type="spellStart"/>
      <w:r>
        <w:rPr>
          <w:sz w:val="22"/>
          <w:szCs w:val="22"/>
        </w:rPr>
        <w:t>Initial</w:t>
      </w:r>
      <w:proofErr w:type="spellEnd"/>
      <w:r>
        <w:rPr>
          <w:sz w:val="22"/>
          <w:szCs w:val="22"/>
        </w:rPr>
        <w:t xml:space="preserve"> si occupa dell’installazione e del rifornimento ciclico di assorbenti, calcolando le quantità necessarie per ogni specifica struttura. Il dispenser è disponibile nella </w:t>
      </w:r>
      <w:r>
        <w:rPr>
          <w:b/>
          <w:sz w:val="22"/>
          <w:szCs w:val="22"/>
        </w:rPr>
        <w:t>versione singola, dotata solo di assorbenti esterni</w:t>
      </w:r>
      <w:r>
        <w:rPr>
          <w:sz w:val="22"/>
          <w:szCs w:val="22"/>
        </w:rPr>
        <w:t xml:space="preserve">, e nella </w:t>
      </w:r>
      <w:r>
        <w:rPr>
          <w:b/>
          <w:sz w:val="22"/>
          <w:szCs w:val="22"/>
        </w:rPr>
        <w:t>versione doppia che offre la possibilità di scegliere tra assorbenti esterni o interni</w:t>
      </w:r>
      <w:r>
        <w:rPr>
          <w:sz w:val="22"/>
          <w:szCs w:val="22"/>
        </w:rPr>
        <w:t xml:space="preserve">, confezionati sempre singolarmente. Un servizio innovativo che fornisce un'esperienza di benessere attenta ai dettagli nei bagni fuori casa. </w:t>
      </w:r>
    </w:p>
    <w:p w14:paraId="059DBE7F" w14:textId="77777777" w:rsidR="00DB7A32" w:rsidRDefault="00DB7A32">
      <w:pPr>
        <w:jc w:val="both"/>
        <w:rPr>
          <w:sz w:val="22"/>
          <w:szCs w:val="22"/>
        </w:rPr>
      </w:pPr>
    </w:p>
    <w:p w14:paraId="0FA1B75A" w14:textId="44CE6102" w:rsidR="00DB7A32" w:rsidRDefault="005D3748">
      <w:pPr>
        <w:jc w:val="both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>“</w:t>
      </w:r>
      <w:r>
        <w:rPr>
          <w:i/>
          <w:sz w:val="22"/>
          <w:szCs w:val="22"/>
        </w:rPr>
        <w:t xml:space="preserve">Negli ultimi anni abbiamo parlato ed intervistato sempre più dipendenti e lavoratori, per conoscere le loro abitudini nell’utilizzo dei bagni presenti nei luoghi di lavoro o nei luoghi pubblici. Abbiamo quindi pensato ad un servizio per le donne, in grado di rispondere ad un bisogno di cui spesso non si parla o per vergogna o a causa di un disagio. </w:t>
      </w:r>
      <w:proofErr w:type="spellStart"/>
      <w:r>
        <w:rPr>
          <w:i/>
          <w:sz w:val="22"/>
          <w:szCs w:val="22"/>
        </w:rPr>
        <w:t>Dignity</w:t>
      </w:r>
      <w:proofErr w:type="spellEnd"/>
      <w:r>
        <w:rPr>
          <w:i/>
          <w:sz w:val="22"/>
          <w:szCs w:val="22"/>
        </w:rPr>
        <w:t xml:space="preserve"> è il servizio che accompagna le aziende, i plessi scolastici e gli uffici pubblici nel dare un chiaro e concreto segno di attenzione al benessere delle proprie utenti, proprio in “quei  giorni”  un po’ più complessi da gestire. Dalla nostra recentissima ricerca è infatti emerso come questo sia un tema su cui c’è ancora molto da lavorare.”</w:t>
      </w:r>
      <w:r>
        <w:t xml:space="preserve"> – </w:t>
      </w:r>
      <w:r>
        <w:rPr>
          <w:sz w:val="22"/>
          <w:szCs w:val="22"/>
        </w:rPr>
        <w:t xml:space="preserve">commenta </w:t>
      </w:r>
      <w:r>
        <w:rPr>
          <w:b/>
          <w:sz w:val="22"/>
          <w:szCs w:val="22"/>
        </w:rPr>
        <w:t xml:space="preserve">Elena </w:t>
      </w:r>
      <w:proofErr w:type="spellStart"/>
      <w:r>
        <w:rPr>
          <w:b/>
          <w:sz w:val="22"/>
          <w:szCs w:val="22"/>
        </w:rPr>
        <w:t>Ossanna</w:t>
      </w:r>
      <w:proofErr w:type="spellEnd"/>
      <w:r>
        <w:rPr>
          <w:b/>
          <w:sz w:val="22"/>
          <w:szCs w:val="22"/>
        </w:rPr>
        <w:t xml:space="preserve">, Amministratore Delegato di </w:t>
      </w:r>
      <w:proofErr w:type="spellStart"/>
      <w:r>
        <w:rPr>
          <w:b/>
          <w:sz w:val="22"/>
          <w:szCs w:val="22"/>
        </w:rPr>
        <w:t>Rentokil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Initial</w:t>
      </w:r>
      <w:proofErr w:type="spellEnd"/>
      <w:r>
        <w:rPr>
          <w:b/>
          <w:sz w:val="22"/>
          <w:szCs w:val="22"/>
        </w:rPr>
        <w:t xml:space="preserve"> Italia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sz w:val="22"/>
          <w:szCs w:val="22"/>
        </w:rPr>
        <w:t xml:space="preserve"> “</w:t>
      </w:r>
      <w:r>
        <w:rPr>
          <w:i/>
          <w:sz w:val="22"/>
          <w:szCs w:val="22"/>
        </w:rPr>
        <w:t xml:space="preserve">Siamo certi che questo nuovo servizio rappresenti una vera e propria forma di progresso culturale ed una soluzione apprezzata da molte utenti . Lo pensa </w:t>
      </w:r>
      <w:r>
        <w:rPr>
          <w:b/>
          <w:i/>
          <w:sz w:val="22"/>
          <w:szCs w:val="22"/>
        </w:rPr>
        <w:t>il 93% della popolazione femminile intervistata per la nostra indagine ma soprattutto l’83% del campione maschile intervistato, che ritiene l’introduzione di questo servizio perfetto per abbattere gli attuali tabù culturali legati al ciclo mestruale.</w:t>
      </w:r>
      <w:r>
        <w:rPr>
          <w:i/>
          <w:sz w:val="22"/>
          <w:szCs w:val="22"/>
        </w:rPr>
        <w:t>”</w:t>
      </w:r>
    </w:p>
    <w:p w14:paraId="4A03A76D" w14:textId="77777777" w:rsidR="00DB7A32" w:rsidRDefault="00DB7A32">
      <w:pPr>
        <w:jc w:val="both"/>
        <w:rPr>
          <w:sz w:val="22"/>
          <w:szCs w:val="22"/>
        </w:rPr>
      </w:pPr>
    </w:p>
    <w:p w14:paraId="093ACF20" w14:textId="77777777" w:rsidR="00DB7A32" w:rsidRDefault="00DB7A32">
      <w:pPr>
        <w:jc w:val="both"/>
        <w:rPr>
          <w:sz w:val="22"/>
          <w:szCs w:val="22"/>
        </w:rPr>
      </w:pPr>
    </w:p>
    <w:p w14:paraId="3028BFE4" w14:textId="77777777" w:rsidR="00DB7A32" w:rsidRDefault="00DB7A32">
      <w:pPr>
        <w:jc w:val="both"/>
        <w:rPr>
          <w:sz w:val="22"/>
          <w:szCs w:val="22"/>
        </w:rPr>
      </w:pPr>
    </w:p>
    <w:p w14:paraId="26564953" w14:textId="77777777" w:rsidR="00DB7A32" w:rsidRDefault="00DB7A32">
      <w:pPr>
        <w:jc w:val="both"/>
        <w:rPr>
          <w:sz w:val="22"/>
          <w:szCs w:val="22"/>
        </w:rPr>
      </w:pPr>
    </w:p>
    <w:p w14:paraId="5747B12B" w14:textId="77777777" w:rsidR="00DB7A32" w:rsidRDefault="00DB7A32">
      <w:pPr>
        <w:jc w:val="both"/>
        <w:rPr>
          <w:sz w:val="22"/>
          <w:szCs w:val="22"/>
        </w:rPr>
      </w:pPr>
    </w:p>
    <w:p w14:paraId="7464AB6A" w14:textId="77777777" w:rsidR="00DB7A32" w:rsidRDefault="00DB7A32">
      <w:pPr>
        <w:jc w:val="both"/>
        <w:rPr>
          <w:sz w:val="22"/>
          <w:szCs w:val="22"/>
        </w:rPr>
      </w:pPr>
    </w:p>
    <w:p w14:paraId="5510F7D2" w14:textId="77777777" w:rsidR="00DB7A32" w:rsidRDefault="00DB7A32">
      <w:pPr>
        <w:jc w:val="both"/>
        <w:rPr>
          <w:sz w:val="22"/>
          <w:szCs w:val="22"/>
        </w:rPr>
      </w:pPr>
    </w:p>
    <w:p w14:paraId="070005F0" w14:textId="77777777" w:rsidR="00DB7A32" w:rsidRDefault="00DB7A32">
      <w:pPr>
        <w:jc w:val="both"/>
        <w:rPr>
          <w:i/>
          <w:sz w:val="22"/>
          <w:szCs w:val="22"/>
        </w:rPr>
      </w:pPr>
    </w:p>
    <w:p w14:paraId="26F08914" w14:textId="77777777" w:rsidR="00DB7A32" w:rsidRDefault="00DB7A32">
      <w:pPr>
        <w:jc w:val="both"/>
        <w:rPr>
          <w:i/>
          <w:sz w:val="22"/>
          <w:szCs w:val="22"/>
        </w:rPr>
      </w:pPr>
    </w:p>
    <w:p w14:paraId="74C78347" w14:textId="77777777" w:rsidR="00DB7A32" w:rsidRDefault="00DB7A32">
      <w:pPr>
        <w:jc w:val="both"/>
        <w:rPr>
          <w:i/>
          <w:sz w:val="22"/>
          <w:szCs w:val="22"/>
        </w:rPr>
      </w:pPr>
    </w:p>
    <w:p w14:paraId="250431C8" w14:textId="77777777" w:rsidR="00DB7A32" w:rsidRDefault="00DB7A32">
      <w:pPr>
        <w:jc w:val="both"/>
        <w:rPr>
          <w:i/>
          <w:sz w:val="22"/>
          <w:szCs w:val="22"/>
        </w:rPr>
      </w:pPr>
    </w:p>
    <w:p w14:paraId="2CF68A38" w14:textId="77777777" w:rsidR="00DB7A32" w:rsidRDefault="00DB7A32">
      <w:pPr>
        <w:jc w:val="both"/>
        <w:rPr>
          <w:i/>
          <w:sz w:val="22"/>
          <w:szCs w:val="22"/>
        </w:rPr>
      </w:pPr>
    </w:p>
    <w:p w14:paraId="0921418A" w14:textId="77777777" w:rsidR="00DB7A32" w:rsidRDefault="00DB7A32">
      <w:pPr>
        <w:jc w:val="both"/>
        <w:rPr>
          <w:i/>
          <w:sz w:val="22"/>
          <w:szCs w:val="22"/>
        </w:rPr>
      </w:pPr>
    </w:p>
    <w:p w14:paraId="5BDC11A4" w14:textId="77777777" w:rsidR="00DB7A32" w:rsidRDefault="00DB7A32">
      <w:pPr>
        <w:jc w:val="both"/>
        <w:rPr>
          <w:i/>
          <w:sz w:val="22"/>
          <w:szCs w:val="22"/>
        </w:rPr>
      </w:pPr>
    </w:p>
    <w:p w14:paraId="249D977F" w14:textId="77777777" w:rsidR="00DB7A32" w:rsidRDefault="00DB7A32">
      <w:pPr>
        <w:jc w:val="both"/>
        <w:rPr>
          <w:i/>
          <w:sz w:val="22"/>
          <w:szCs w:val="22"/>
        </w:rPr>
      </w:pPr>
    </w:p>
    <w:p w14:paraId="4CC9B196" w14:textId="77777777" w:rsidR="00DB7A32" w:rsidRDefault="00DB7A32">
      <w:pPr>
        <w:jc w:val="both"/>
        <w:rPr>
          <w:i/>
          <w:sz w:val="22"/>
          <w:szCs w:val="22"/>
        </w:rPr>
      </w:pPr>
    </w:p>
    <w:p w14:paraId="70AEA826" w14:textId="77777777" w:rsidR="00DB7A32" w:rsidRDefault="00DB7A32">
      <w:pPr>
        <w:jc w:val="both"/>
        <w:rPr>
          <w:i/>
          <w:sz w:val="22"/>
          <w:szCs w:val="22"/>
        </w:rPr>
      </w:pPr>
    </w:p>
    <w:p w14:paraId="77759FC7" w14:textId="77777777" w:rsidR="00DB7A32" w:rsidRDefault="005D3748">
      <w:pPr>
        <w:pBdr>
          <w:top w:val="none" w:sz="0" w:space="12" w:color="000000"/>
          <w:between w:val="none" w:sz="0" w:space="12" w:color="000000"/>
        </w:pBdr>
        <w:jc w:val="center"/>
        <w:rPr>
          <w:i/>
        </w:rPr>
      </w:pPr>
      <w:r>
        <w:rPr>
          <w:i/>
        </w:rPr>
        <w:t>***</w:t>
      </w:r>
    </w:p>
    <w:p w14:paraId="767F9DBC" w14:textId="77777777" w:rsidR="00DB7A32" w:rsidRDefault="005D3748">
      <w:pPr>
        <w:ind w:hanging="2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Rentokil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Initial</w:t>
      </w:r>
      <w:proofErr w:type="spellEnd"/>
    </w:p>
    <w:p w14:paraId="18D32CA9" w14:textId="77777777" w:rsidR="00DB7A32" w:rsidRDefault="005D3748">
      <w:pPr>
        <w:ind w:hanging="2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Rentokil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Initial</w:t>
      </w:r>
      <w:proofErr w:type="spellEnd"/>
      <w:r>
        <w:rPr>
          <w:sz w:val="18"/>
          <w:szCs w:val="18"/>
        </w:rPr>
        <w:t xml:space="preserve"> è il maggior fornitore al mondo di servizi per le aziende. Da oltre 90 anni l’azienda - nata dalla fusione di due società - si occupa di Pest e </w:t>
      </w:r>
      <w:proofErr w:type="spellStart"/>
      <w:r>
        <w:rPr>
          <w:sz w:val="18"/>
          <w:szCs w:val="18"/>
        </w:rPr>
        <w:t>Hygiene</w:t>
      </w:r>
      <w:proofErr w:type="spellEnd"/>
      <w:r>
        <w:rPr>
          <w:sz w:val="18"/>
          <w:szCs w:val="18"/>
        </w:rPr>
        <w:t xml:space="preserve"> Services. Attiva in oltre 90 Paesi al mondo - in Europa, Asia, Oceania, America e Africa - conta più di 57.000 dipendenti e un fatturato annuo di £ 3 miliardi. La filiale italiana opera oggi con due divisioni: </w:t>
      </w:r>
      <w:proofErr w:type="spellStart"/>
      <w:r>
        <w:rPr>
          <w:sz w:val="18"/>
          <w:szCs w:val="18"/>
        </w:rPr>
        <w:t>Initial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Hygiene</w:t>
      </w:r>
      <w:proofErr w:type="spellEnd"/>
      <w:r>
        <w:rPr>
          <w:sz w:val="18"/>
          <w:szCs w:val="18"/>
        </w:rPr>
        <w:t>, specializzata in servizi per l’igiene e marketing olfattivo, che si è ampliata grazie all’acquisizione di CWS-</w:t>
      </w:r>
      <w:proofErr w:type="spellStart"/>
      <w:r>
        <w:rPr>
          <w:sz w:val="18"/>
          <w:szCs w:val="18"/>
        </w:rPr>
        <w:t>boco</w:t>
      </w:r>
      <w:proofErr w:type="spellEnd"/>
      <w:r>
        <w:rPr>
          <w:sz w:val="18"/>
          <w:szCs w:val="18"/>
        </w:rPr>
        <w:t xml:space="preserve"> Italia e di </w:t>
      </w:r>
      <w:proofErr w:type="spellStart"/>
      <w:r>
        <w:rPr>
          <w:sz w:val="18"/>
          <w:szCs w:val="18"/>
        </w:rPr>
        <w:t>LFree</w:t>
      </w:r>
      <w:proofErr w:type="spellEnd"/>
      <w:r>
        <w:rPr>
          <w:sz w:val="18"/>
          <w:szCs w:val="18"/>
        </w:rPr>
        <w:t xml:space="preserve">, e </w:t>
      </w:r>
      <w:proofErr w:type="spellStart"/>
      <w:r>
        <w:rPr>
          <w:sz w:val="18"/>
          <w:szCs w:val="18"/>
        </w:rPr>
        <w:t>Rentokil</w:t>
      </w:r>
      <w:proofErr w:type="spellEnd"/>
      <w:r>
        <w:rPr>
          <w:sz w:val="18"/>
          <w:szCs w:val="18"/>
        </w:rPr>
        <w:t xml:space="preserve"> Pest Control, dedicata ai servizi per la disinfestazione e monitoraggio degli infestanti e la disinfezione degli ambienti. Lo staff è composto ora da oltre 600 dipendenti, con un personale tecnico suddiviso su molteplici filiali nel territorio nazionale. Nel 2021 la società ha acquisito Gico Systems, azienda italiana specializzata nel </w:t>
      </w:r>
      <w:proofErr w:type="spellStart"/>
      <w:r>
        <w:rPr>
          <w:sz w:val="18"/>
          <w:szCs w:val="18"/>
        </w:rPr>
        <w:t>pest</w:t>
      </w:r>
      <w:proofErr w:type="spellEnd"/>
      <w:r>
        <w:rPr>
          <w:sz w:val="18"/>
          <w:szCs w:val="18"/>
        </w:rPr>
        <w:t xml:space="preserve"> control e allontanamento volatili. </w:t>
      </w:r>
      <w:proofErr w:type="spellStart"/>
      <w:r>
        <w:rPr>
          <w:sz w:val="18"/>
          <w:szCs w:val="18"/>
        </w:rPr>
        <w:t>Rentokil</w:t>
      </w:r>
      <w:proofErr w:type="spellEnd"/>
      <w:r>
        <w:rPr>
          <w:sz w:val="18"/>
          <w:szCs w:val="18"/>
        </w:rPr>
        <w:t xml:space="preserve"> ha un'esperienza globale dal Nord America all'Europa, anche grazie alla recente acquisizione di </w:t>
      </w:r>
      <w:proofErr w:type="spellStart"/>
      <w:r>
        <w:rPr>
          <w:sz w:val="18"/>
          <w:szCs w:val="18"/>
        </w:rPr>
        <w:t>Terminix</w:t>
      </w:r>
      <w:proofErr w:type="spellEnd"/>
      <w:r>
        <w:rPr>
          <w:sz w:val="18"/>
          <w:szCs w:val="18"/>
        </w:rPr>
        <w:t xml:space="preserve">, società leader del Pest Control in Nord America. </w:t>
      </w:r>
    </w:p>
    <w:p w14:paraId="78651081" w14:textId="77777777" w:rsidR="00DB7A32" w:rsidRDefault="00DB7A32">
      <w:pPr>
        <w:jc w:val="both"/>
        <w:rPr>
          <w:i/>
          <w:sz w:val="16"/>
          <w:szCs w:val="16"/>
        </w:rPr>
      </w:pPr>
    </w:p>
    <w:p w14:paraId="58371F25" w14:textId="77777777" w:rsidR="00DB7A32" w:rsidRDefault="005D374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Contatti per la stampa</w:t>
      </w:r>
    </w:p>
    <w:p w14:paraId="55B2B910" w14:textId="77777777" w:rsidR="00DB7A32" w:rsidRDefault="005D3748">
      <w:pPr>
        <w:jc w:val="both"/>
        <w:rPr>
          <w:sz w:val="16"/>
          <w:szCs w:val="16"/>
        </w:rPr>
      </w:pPr>
      <w:r>
        <w:rPr>
          <w:sz w:val="16"/>
          <w:szCs w:val="16"/>
        </w:rPr>
        <w:t>Liliana Panzino, Federica Castagna</w:t>
      </w:r>
    </w:p>
    <w:p w14:paraId="447286DC" w14:textId="77777777" w:rsidR="00DB7A32" w:rsidRDefault="005D3748">
      <w:pPr>
        <w:jc w:val="both"/>
        <w:rPr>
          <w:sz w:val="16"/>
          <w:szCs w:val="16"/>
        </w:rPr>
      </w:pPr>
      <w:r>
        <w:rPr>
          <w:sz w:val="16"/>
          <w:szCs w:val="16"/>
        </w:rPr>
        <w:t>Noesis Comunicazione - Tel. 02 8310511</w:t>
      </w:r>
    </w:p>
    <w:p w14:paraId="78AC7CE9" w14:textId="77777777" w:rsidR="00DB7A32" w:rsidRDefault="005D3748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>Email:</w:t>
      </w:r>
      <w:r>
        <w:rPr>
          <w:b/>
          <w:sz w:val="16"/>
          <w:szCs w:val="16"/>
        </w:rPr>
        <w:t xml:space="preserve"> </w:t>
      </w:r>
      <w:hyperlink r:id="rId8">
        <w:r>
          <w:rPr>
            <w:b/>
            <w:color w:val="0000FF"/>
            <w:sz w:val="16"/>
            <w:szCs w:val="16"/>
            <w:u w:val="single"/>
          </w:rPr>
          <w:t>rentokil-initial@noesis.net</w:t>
        </w:r>
      </w:hyperlink>
      <w:r>
        <w:rPr>
          <w:b/>
          <w:sz w:val="16"/>
          <w:szCs w:val="16"/>
        </w:rPr>
        <w:t xml:space="preserve"> </w:t>
      </w:r>
    </w:p>
    <w:p w14:paraId="0C40F26E" w14:textId="77777777" w:rsidR="00DB7A32" w:rsidRDefault="00DB7A32">
      <w:pPr>
        <w:jc w:val="both"/>
        <w:rPr>
          <w:b/>
          <w:sz w:val="16"/>
          <w:szCs w:val="16"/>
        </w:rPr>
      </w:pPr>
    </w:p>
    <w:p w14:paraId="32A11C23" w14:textId="77777777" w:rsidR="00DB7A32" w:rsidRDefault="005D3748">
      <w:pPr>
        <w:rPr>
          <w:sz w:val="16"/>
          <w:szCs w:val="16"/>
        </w:rPr>
      </w:pPr>
      <w:r>
        <w:rPr>
          <w:rFonts w:ascii="Verdana" w:eastAsia="Verdana" w:hAnsi="Verdana" w:cs="Verdana"/>
          <w:noProof/>
        </w:rPr>
        <w:drawing>
          <wp:inline distT="0" distB="0" distL="0" distR="0" wp14:anchorId="485489BE" wp14:editId="6E3524E6">
            <wp:extent cx="101600" cy="111760"/>
            <wp:effectExtent l="0" t="0" r="0" b="0"/>
            <wp:docPr id="179778223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11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hyperlink r:id="rId10">
        <w:r>
          <w:rPr>
            <w:color w:val="0000FF"/>
            <w:sz w:val="16"/>
            <w:szCs w:val="16"/>
            <w:u w:val="single"/>
          </w:rPr>
          <w:t>@Initial_Italia</w:t>
        </w:r>
      </w:hyperlink>
      <w:r>
        <w:rPr>
          <w:color w:val="0000FF"/>
          <w:sz w:val="16"/>
          <w:szCs w:val="16"/>
        </w:rPr>
        <w:tab/>
      </w:r>
      <w:r>
        <w:rPr>
          <w:rFonts w:ascii="Verdana" w:eastAsia="Verdana" w:hAnsi="Verdana" w:cs="Verdana"/>
          <w:noProof/>
          <w:color w:val="000000"/>
          <w:sz w:val="19"/>
          <w:szCs w:val="19"/>
        </w:rPr>
        <w:drawing>
          <wp:inline distT="0" distB="0" distL="0" distR="0" wp14:anchorId="07D57475" wp14:editId="22E16B5F">
            <wp:extent cx="130810" cy="91440"/>
            <wp:effectExtent l="0" t="0" r="0" b="0"/>
            <wp:docPr id="1797782233" name="image2.png" descr="C:\Users\cristina_g\AppData\Local\Microsoft\Windows\INetCache\Content.MSO\9768F7B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cristina_g\AppData\Local\Microsoft\Windows\INetCache\Content.MSO\9768F7B.tmp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" cy="91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2">
        <w:proofErr w:type="spellStart"/>
        <w:r>
          <w:rPr>
            <w:color w:val="0000FF"/>
            <w:sz w:val="16"/>
            <w:szCs w:val="16"/>
            <w:u w:val="single"/>
          </w:rPr>
          <w:t>Initial</w:t>
        </w:r>
        <w:proofErr w:type="spellEnd"/>
        <w:r>
          <w:rPr>
            <w:color w:val="0000FF"/>
            <w:sz w:val="16"/>
            <w:szCs w:val="16"/>
            <w:u w:val="single"/>
          </w:rPr>
          <w:t xml:space="preserve"> </w:t>
        </w:r>
        <w:proofErr w:type="spellStart"/>
        <w:r>
          <w:rPr>
            <w:color w:val="0000FF"/>
            <w:sz w:val="16"/>
            <w:szCs w:val="16"/>
            <w:u w:val="single"/>
          </w:rPr>
          <w:t>italia</w:t>
        </w:r>
        <w:proofErr w:type="spellEnd"/>
      </w:hyperlink>
      <w:r>
        <w:rPr>
          <w:sz w:val="16"/>
          <w:szCs w:val="16"/>
        </w:rPr>
        <w:tab/>
      </w:r>
      <w:r>
        <w:rPr>
          <w:noProof/>
        </w:rPr>
        <w:drawing>
          <wp:inline distT="0" distB="0" distL="0" distR="0" wp14:anchorId="3CE0DE33" wp14:editId="19B91755">
            <wp:extent cx="113030" cy="113030"/>
            <wp:effectExtent l="0" t="0" r="0" b="0"/>
            <wp:docPr id="1797782232" name="image1.jpg" descr="Linkedin Logo - Vettori e PSD gratuiti da scarica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inkedin Logo - Vettori e PSD gratuiti da scaricar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4">
        <w:proofErr w:type="spellStart"/>
        <w:r>
          <w:rPr>
            <w:color w:val="0000FF"/>
            <w:sz w:val="16"/>
            <w:szCs w:val="16"/>
            <w:u w:val="single"/>
          </w:rPr>
          <w:t>Initial</w:t>
        </w:r>
        <w:proofErr w:type="spellEnd"/>
        <w:r>
          <w:rPr>
            <w:color w:val="0000FF"/>
            <w:sz w:val="16"/>
            <w:szCs w:val="16"/>
            <w:u w:val="single"/>
          </w:rPr>
          <w:t xml:space="preserve"> Italia</w:t>
        </w:r>
      </w:hyperlink>
      <w:r>
        <w:rPr>
          <w:color w:val="0000FF"/>
          <w:sz w:val="16"/>
          <w:szCs w:val="16"/>
        </w:rPr>
        <w:t xml:space="preserve">        </w:t>
      </w:r>
      <w:hyperlink r:id="rId15">
        <w:proofErr w:type="spellStart"/>
        <w:r>
          <w:rPr>
            <w:color w:val="0000FF"/>
            <w:sz w:val="16"/>
            <w:szCs w:val="16"/>
            <w:u w:val="single"/>
          </w:rPr>
          <w:t>Initial</w:t>
        </w:r>
        <w:proofErr w:type="spellEnd"/>
        <w:r>
          <w:rPr>
            <w:color w:val="0000FF"/>
            <w:sz w:val="16"/>
            <w:szCs w:val="16"/>
            <w:u w:val="single"/>
          </w:rPr>
          <w:t xml:space="preserve"> Italia</w:t>
        </w:r>
      </w:hyperlink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CC0D252" wp14:editId="3C5187B4">
            <wp:simplePos x="0" y="0"/>
            <wp:positionH relativeFrom="column">
              <wp:posOffset>2732629</wp:posOffset>
            </wp:positionH>
            <wp:positionV relativeFrom="paragraph">
              <wp:posOffset>4405</wp:posOffset>
            </wp:positionV>
            <wp:extent cx="118745" cy="118745"/>
            <wp:effectExtent l="0" t="0" r="0" b="0"/>
            <wp:wrapSquare wrapText="bothSides" distT="0" distB="0" distL="114300" distR="114300"/>
            <wp:docPr id="17977822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C12AB4" w14:textId="77777777" w:rsidR="00DB7A32" w:rsidRDefault="00DB7A32">
      <w:pPr>
        <w:jc w:val="both"/>
        <w:rPr>
          <w:sz w:val="16"/>
          <w:szCs w:val="16"/>
        </w:rPr>
      </w:pPr>
    </w:p>
    <w:p w14:paraId="329019E0" w14:textId="77777777" w:rsidR="00DB7A32" w:rsidRDefault="005D374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#Dignity</w:t>
      </w:r>
    </w:p>
    <w:p w14:paraId="5D3D8216" w14:textId="77777777" w:rsidR="00DB7A32" w:rsidRDefault="00DB7A32">
      <w:pPr>
        <w:jc w:val="both"/>
        <w:rPr>
          <w:b/>
          <w:sz w:val="16"/>
          <w:szCs w:val="16"/>
        </w:rPr>
      </w:pPr>
    </w:p>
    <w:p w14:paraId="1BB46C6C" w14:textId="77777777" w:rsidR="00DB7A32" w:rsidRDefault="00DB7A32">
      <w:pPr>
        <w:jc w:val="both"/>
        <w:rPr>
          <w:b/>
          <w:sz w:val="16"/>
          <w:szCs w:val="16"/>
        </w:rPr>
      </w:pPr>
    </w:p>
    <w:p w14:paraId="73B02A52" w14:textId="77777777" w:rsidR="00DB7A32" w:rsidRDefault="00DB7A32">
      <w:pPr>
        <w:jc w:val="both"/>
        <w:rPr>
          <w:i/>
          <w:sz w:val="16"/>
          <w:szCs w:val="16"/>
        </w:rPr>
      </w:pPr>
    </w:p>
    <w:sectPr w:rsidR="00DB7A32">
      <w:headerReference w:type="default" r:id="rId17"/>
      <w:footerReference w:type="default" r:id="rId18"/>
      <w:pgSz w:w="11906" w:h="16838"/>
      <w:pgMar w:top="1560" w:right="991" w:bottom="709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A05A1" w14:textId="77777777" w:rsidR="005D3748" w:rsidRDefault="005D3748">
      <w:r>
        <w:separator/>
      </w:r>
    </w:p>
  </w:endnote>
  <w:endnote w:type="continuationSeparator" w:id="0">
    <w:p w14:paraId="17119D40" w14:textId="77777777" w:rsidR="005D3748" w:rsidRDefault="005D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6A2E1" w14:textId="77777777" w:rsidR="00DB7A32" w:rsidRDefault="005D37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67436E6C" w14:textId="77777777" w:rsidR="00DB7A32" w:rsidRDefault="00DB7A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D4F1B" w14:textId="77777777" w:rsidR="005D3748" w:rsidRDefault="005D3748">
      <w:r>
        <w:separator/>
      </w:r>
    </w:p>
  </w:footnote>
  <w:footnote w:type="continuationSeparator" w:id="0">
    <w:p w14:paraId="447BAAC1" w14:textId="77777777" w:rsidR="005D3748" w:rsidRDefault="005D3748">
      <w:r>
        <w:continuationSeparator/>
      </w:r>
    </w:p>
  </w:footnote>
  <w:footnote w:id="1">
    <w:p w14:paraId="04D8072B" w14:textId="1EBB3193" w:rsidR="00B97D38" w:rsidRDefault="00B97D38" w:rsidP="00B97D38">
      <w:pPr>
        <w:rPr>
          <w:i/>
          <w:color w:val="000000"/>
          <w:sz w:val="18"/>
          <w:szCs w:val="18"/>
        </w:rPr>
      </w:pPr>
      <w:r>
        <w:rPr>
          <w:rStyle w:val="Rimandonotaapidipagina"/>
        </w:rPr>
        <w:footnoteRef/>
      </w:r>
      <w:r>
        <w:rPr>
          <w:color w:val="000000"/>
        </w:rPr>
        <w:t xml:space="preserve"> </w:t>
      </w:r>
      <w:r>
        <w:rPr>
          <w:i/>
          <w:color w:val="000000"/>
          <w:sz w:val="18"/>
          <w:szCs w:val="18"/>
        </w:rPr>
        <w:t xml:space="preserve">Indagine commissionata da </w:t>
      </w:r>
      <w:proofErr w:type="spellStart"/>
      <w:r>
        <w:rPr>
          <w:i/>
          <w:color w:val="000000"/>
          <w:sz w:val="18"/>
          <w:szCs w:val="18"/>
        </w:rPr>
        <w:t>Initial</w:t>
      </w:r>
      <w:proofErr w:type="spellEnd"/>
      <w:r>
        <w:rPr>
          <w:i/>
          <w:color w:val="000000"/>
          <w:sz w:val="18"/>
          <w:szCs w:val="18"/>
        </w:rPr>
        <w:t xml:space="preserve"> Italia a </w:t>
      </w:r>
      <w:proofErr w:type="spellStart"/>
      <w:r>
        <w:rPr>
          <w:i/>
          <w:color w:val="000000"/>
          <w:sz w:val="18"/>
          <w:szCs w:val="18"/>
        </w:rPr>
        <w:t>mUp</w:t>
      </w:r>
      <w:proofErr w:type="spellEnd"/>
      <w:r>
        <w:rPr>
          <w:i/>
          <w:color w:val="000000"/>
          <w:sz w:val="18"/>
          <w:szCs w:val="18"/>
        </w:rPr>
        <w:t xml:space="preserve"> </w:t>
      </w:r>
      <w:proofErr w:type="spellStart"/>
      <w:r>
        <w:rPr>
          <w:i/>
          <w:color w:val="000000"/>
          <w:sz w:val="18"/>
          <w:szCs w:val="18"/>
        </w:rPr>
        <w:t>Research</w:t>
      </w:r>
      <w:proofErr w:type="spellEnd"/>
      <w:r>
        <w:rPr>
          <w:i/>
          <w:color w:val="000000"/>
          <w:sz w:val="18"/>
          <w:szCs w:val="18"/>
        </w:rPr>
        <w:t xml:space="preserve"> - svolta fra il 24 ed il 28 novembre 2023 attraverso la somministrazione di n.1607 interviste CAWI ad un campione di individui in età compresa fra 16 e 60 anni, rappresentativo della popolazione italiana residente sull’intero territorio nazionale nell’intervallo di età considerato.</w:t>
      </w:r>
    </w:p>
    <w:p w14:paraId="50244B2D" w14:textId="6E97A0F5" w:rsidR="00B97D38" w:rsidRDefault="00B97D3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9DF7D" w14:textId="77777777" w:rsidR="00DB7A32" w:rsidRDefault="005D37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jc w:val="right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1ED9DD33" wp14:editId="2707A68D">
          <wp:extent cx="1011555" cy="298450"/>
          <wp:effectExtent l="0" t="0" r="0" b="0"/>
          <wp:docPr id="179778223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1555" cy="298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32"/>
    <w:rsid w:val="00107EC6"/>
    <w:rsid w:val="005D3748"/>
    <w:rsid w:val="00A019F1"/>
    <w:rsid w:val="00B97D38"/>
    <w:rsid w:val="00DB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4F92"/>
  <w15:docId w15:val="{AAD031CE-8F8C-4889-99CC-4F3E8E60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F3F9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3F9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090911"/>
    <w:rPr>
      <w:b/>
      <w:bCs/>
    </w:rPr>
  </w:style>
  <w:style w:type="character" w:styleId="Enfasicorsivo">
    <w:name w:val="Emphasis"/>
    <w:basedOn w:val="Carpredefinitoparagrafo"/>
    <w:uiPriority w:val="20"/>
    <w:qFormat/>
    <w:rsid w:val="00090911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134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1348"/>
  </w:style>
  <w:style w:type="character" w:styleId="Rimandonotaapidipagina">
    <w:name w:val="footnote reference"/>
    <w:basedOn w:val="Carpredefinitoparagrafo"/>
    <w:uiPriority w:val="99"/>
    <w:semiHidden/>
    <w:unhideWhenUsed/>
    <w:rsid w:val="00811348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35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351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623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e1">
    <w:name w:val="Normale1"/>
    <w:rsid w:val="00AD30AC"/>
  </w:style>
  <w:style w:type="paragraph" w:styleId="Revisione">
    <w:name w:val="Revision"/>
    <w:hidden/>
    <w:uiPriority w:val="99"/>
    <w:semiHidden/>
    <w:rsid w:val="00984600"/>
  </w:style>
  <w:style w:type="character" w:styleId="Collegamentovisitato">
    <w:name w:val="FollowedHyperlink"/>
    <w:basedOn w:val="Carpredefinitoparagrafo"/>
    <w:uiPriority w:val="99"/>
    <w:semiHidden/>
    <w:unhideWhenUsed/>
    <w:rsid w:val="00C85CC6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977DB"/>
    <w:pPr>
      <w:ind w:left="720"/>
    </w:pPr>
    <w:rPr>
      <w:rFonts w:eastAsiaTheme="minorHAnsi"/>
    </w:rPr>
  </w:style>
  <w:style w:type="paragraph" w:styleId="Intestazione">
    <w:name w:val="header"/>
    <w:basedOn w:val="Normale"/>
    <w:link w:val="IntestazioneCarattere"/>
    <w:uiPriority w:val="99"/>
    <w:unhideWhenUsed/>
    <w:rsid w:val="008B18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18C2"/>
  </w:style>
  <w:style w:type="paragraph" w:styleId="Pidipagina">
    <w:name w:val="footer"/>
    <w:basedOn w:val="Normale"/>
    <w:link w:val="PidipaginaCarattere"/>
    <w:uiPriority w:val="99"/>
    <w:unhideWhenUsed/>
    <w:rsid w:val="008B18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8C2"/>
  </w:style>
  <w:style w:type="character" w:styleId="Testosegnaposto">
    <w:name w:val="Placeholder Text"/>
    <w:basedOn w:val="Carpredefinitoparagrafo"/>
    <w:uiPriority w:val="99"/>
    <w:semiHidden/>
    <w:rsid w:val="00D2463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5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tokil-initial@noesis.net" TargetMode="External"/><Relationship Id="rId13" Type="http://schemas.openxmlformats.org/officeDocument/2006/relationships/image" Target="media/image3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M8tVRNsb3ZFUdKuVtAj7-w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pinterest.it/InitialItalia/" TargetMode="External"/><Relationship Id="rId10" Type="http://schemas.openxmlformats.org/officeDocument/2006/relationships/hyperlink" Target="https://www.instagram.com/initial_itali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linkedin.com/company/initial-hygiene-ital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q+DsZbqWDy7XEIbMXbIhzdTCxA==">CgMxLjA4AHIhMXNNZ1ktbS1SaDhVVjFaTTVvV1JyYlNTZGxwTmhjai12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06DBD08-7EF7-4684-875F-5CD3F6F5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Castagna</dc:creator>
  <cp:lastModifiedBy>Alessia Deplano</cp:lastModifiedBy>
  <cp:revision>5</cp:revision>
  <cp:lastPrinted>2024-04-02T13:35:00Z</cp:lastPrinted>
  <dcterms:created xsi:type="dcterms:W3CDTF">2024-03-11T13:09:00Z</dcterms:created>
  <dcterms:modified xsi:type="dcterms:W3CDTF">2024-04-02T15:09:00Z</dcterms:modified>
</cp:coreProperties>
</file>