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A3620" w14:textId="77777777" w:rsidR="001336D1" w:rsidRDefault="00000000">
      <w:pPr>
        <w:jc w:val="center"/>
        <w:rPr>
          <w:rFonts w:ascii="Avenir" w:eastAsia="Avenir" w:hAnsi="Avenir" w:cs="Avenir"/>
          <w:b/>
          <w:color w:val="000000"/>
          <w:sz w:val="20"/>
          <w:szCs w:val="20"/>
        </w:rPr>
      </w:pPr>
      <w:r>
        <w:rPr>
          <w:rFonts w:ascii="Avenir" w:eastAsia="Avenir" w:hAnsi="Avenir" w:cs="Avenir"/>
          <w:noProof/>
          <w:color w:val="000000"/>
        </w:rPr>
        <w:drawing>
          <wp:inline distT="0" distB="0" distL="0" distR="0" wp14:anchorId="519B6550" wp14:editId="518AA174">
            <wp:extent cx="2177142" cy="780005"/>
            <wp:effectExtent l="0" t="0" r="0" b="0"/>
            <wp:docPr id="1" name="image4.png" descr="Immagine che contiene disegnand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magine che contiene disegnand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142" cy="78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2B274A" w14:textId="77777777" w:rsidR="001336D1" w:rsidRDefault="001336D1">
      <w:pPr>
        <w:jc w:val="center"/>
        <w:rPr>
          <w:rFonts w:ascii="Avenir" w:eastAsia="Avenir" w:hAnsi="Avenir" w:cs="Avenir"/>
          <w:b/>
          <w:color w:val="000000"/>
          <w:sz w:val="20"/>
          <w:szCs w:val="20"/>
        </w:rPr>
      </w:pPr>
    </w:p>
    <w:p w14:paraId="748F2E87" w14:textId="77777777" w:rsidR="001336D1" w:rsidRDefault="00000000">
      <w:pPr>
        <w:jc w:val="center"/>
        <w:rPr>
          <w:rFonts w:ascii="Avenir" w:eastAsia="Avenir" w:hAnsi="Avenir" w:cs="Avenir"/>
          <w:b/>
          <w:color w:val="000000"/>
        </w:rPr>
      </w:pPr>
      <w:r>
        <w:rPr>
          <w:rFonts w:ascii="Avenir" w:eastAsia="Avenir" w:hAnsi="Avenir" w:cs="Avenir"/>
          <w:b/>
          <w:color w:val="000000"/>
        </w:rPr>
        <w:t xml:space="preserve">Digital Customer Experience: le tendenze del 2024 secondo </w:t>
      </w:r>
      <w:proofErr w:type="spellStart"/>
      <w:r>
        <w:rPr>
          <w:rFonts w:ascii="Avenir" w:eastAsia="Avenir" w:hAnsi="Avenir" w:cs="Avenir"/>
          <w:b/>
          <w:color w:val="000000"/>
        </w:rPr>
        <w:t>Medallia</w:t>
      </w:r>
      <w:proofErr w:type="spellEnd"/>
      <w:r>
        <w:rPr>
          <w:rFonts w:ascii="Avenir" w:eastAsia="Avenir" w:hAnsi="Avenir" w:cs="Avenir"/>
          <w:b/>
          <w:color w:val="000000"/>
        </w:rPr>
        <w:t xml:space="preserve"> e Adobe </w:t>
      </w:r>
    </w:p>
    <w:p w14:paraId="33F8D96B" w14:textId="77777777" w:rsidR="001336D1" w:rsidRDefault="001336D1">
      <w:pPr>
        <w:rPr>
          <w:rFonts w:ascii="Avenir" w:eastAsia="Avenir" w:hAnsi="Avenir" w:cs="Avenir"/>
          <w:color w:val="000000"/>
          <w:sz w:val="22"/>
          <w:szCs w:val="22"/>
        </w:rPr>
      </w:pPr>
    </w:p>
    <w:p w14:paraId="6CB9B8C2" w14:textId="77777777" w:rsidR="001336D1" w:rsidRDefault="001336D1">
      <w:pPr>
        <w:jc w:val="both"/>
        <w:rPr>
          <w:rFonts w:ascii="Avenir" w:eastAsia="Avenir" w:hAnsi="Avenir" w:cs="Avenir"/>
          <w:b/>
          <w:color w:val="1D1C1D"/>
          <w:sz w:val="20"/>
          <w:szCs w:val="20"/>
        </w:rPr>
      </w:pPr>
    </w:p>
    <w:p w14:paraId="2BF1D0FB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Cosa pensano i consumatori online? Come si comportano e come prendono decisioni per i loro acquisti? Nell’esperienza del cliente digitale emergono nuove preferenze, canali e modalità per interagire con le aziende: da un’analisi congiunta presentata da Andrew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Custage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, responsabile Market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Research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Insights di </w:t>
      </w:r>
      <w:hyperlink r:id="rId6">
        <w:proofErr w:type="spellStart"/>
        <w:r>
          <w:rPr>
            <w:rFonts w:ascii="Avenir" w:eastAsia="Avenir" w:hAnsi="Avenir" w:cs="Avenir"/>
            <w:color w:val="1155CC"/>
            <w:sz w:val="22"/>
            <w:szCs w:val="22"/>
            <w:u w:val="single"/>
          </w:rPr>
          <w:t>Medallia</w:t>
        </w:r>
        <w:proofErr w:type="spellEnd"/>
        <w:r>
          <w:rPr>
            <w:rFonts w:ascii="Avenir" w:eastAsia="Avenir" w:hAnsi="Avenir" w:cs="Avenir"/>
            <w:color w:val="1155CC"/>
            <w:sz w:val="22"/>
            <w:szCs w:val="22"/>
            <w:u w:val="single"/>
          </w:rPr>
          <w:t>, Inc.</w:t>
        </w:r>
      </w:hyperlink>
      <w:r>
        <w:rPr>
          <w:rFonts w:ascii="Avenir" w:eastAsia="Avenir" w:hAnsi="Avenir" w:cs="Avenir"/>
          <w:color w:val="000000"/>
          <w:sz w:val="22"/>
          <w:szCs w:val="22"/>
        </w:rPr>
        <w:t xml:space="preserve"> – l’azienda leader nella gestione dell’esperienza – e Bruce Richards, Industry Strategy and Marketing Lead, Retail &amp; Consumer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Goods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di Adobe, emergono alcune importanti tendenze. </w:t>
      </w:r>
    </w:p>
    <w:p w14:paraId="76EAF33D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2E8264FF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1) L'attuale contesto macroeconomico sta plasmando il percorso del cliente </w:t>
      </w:r>
      <w:proofErr w:type="spellStart"/>
      <w:r>
        <w:rPr>
          <w:rFonts w:ascii="Avenir" w:eastAsia="Avenir" w:hAnsi="Avenir" w:cs="Avenir"/>
          <w:b/>
          <w:color w:val="000000"/>
          <w:sz w:val="22"/>
          <w:szCs w:val="22"/>
        </w:rPr>
        <w:t>omnichannel</w:t>
      </w:r>
      <w:proofErr w:type="spellEnd"/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e il processo decisionale di acquisto</w:t>
      </w:r>
    </w:p>
    <w:p w14:paraId="5B694B99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718618ED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Dal focus emerge che i consumatori fanno più ricerche per prendere "la decisione migliore su cosa comprare e dove". Più della metà (55-56%) dichiara di dedicare maggiore tempo alla ricerca di informazioni rispetto al passato, come ad esempio dove trovare le migliori offerte del prodotto desiderato o la differenza di prezzo tra ciò che è disponibile online rispetto al negozio. Circa il 50% dichiara di essere disposto a fare acquisti di prodotti più economici, il 41% dichiara di acquistare articoli usati o di seconda mano e il 45% confronta i prezzi prima di ordinare, verificando la differenza tra quelli praticati da ristoranti e negozi e da servizi di terze parti.</w:t>
      </w:r>
    </w:p>
    <w:p w14:paraId="40772EF7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37517EBE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2) Di fronte alle sfide economiche, la Customer Experience è più importante che mai</w:t>
      </w:r>
    </w:p>
    <w:p w14:paraId="4C77FDAA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324B36E7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Offrire la migliore esperienza possibile è importante perché questo è un altro fattore che influenza la decisione di acquisto. Infatti, ben il 73% dei consumatori dichiara di tenere conto della Customer Experience nelle proprie decisioni di acquisto. "I marchi non possono sempre controllare quello che faranno i consumatori", affermano i manager. “Il fatto che i clienti scelgano di cercare prezzi migliori rimane fuori dal controllo delle aziende; quello che invece possono influenzare è l'esperienza che offrono, che pensiamo possa fidelizzare il cliente nel tempo, più del fattore prezzo".</w:t>
      </w:r>
    </w:p>
    <w:p w14:paraId="0A861516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54E3A650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3) Le piattaforme digitali di acquisto stanno diventando una parte importante del viaggio del cliente digitale</w:t>
      </w:r>
    </w:p>
    <w:p w14:paraId="3C70232E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35026691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Per i marchi del settore alimentare e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grocery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, la spesa dei consumatori sulle piattaforme di acquisto di terzi è destinata a rimanere. "C'è una percentuale permanente e consistente di transazioni che si svolge al di fuori delle dinamiche del marchio e non sempre si ha il pieno controllo su questa esperienza", spiegano i manager di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Medallia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e Adobe. </w:t>
      </w:r>
    </w:p>
    <w:p w14:paraId="38258DC3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In questo contesto, è più che mai importante che i retailer lavorino a stretto contatto con i partner delle piattaforme di ordinazione per assicurarsi di rispondere alle aspettative dei clienti e migliorarne la soddisfazione. È compito dei leader "responsabilizzarli lungo la catena del valore" per ottenere esperienze coerenti in tutti i </w:t>
      </w:r>
      <w:proofErr w:type="spellStart"/>
      <w:r>
        <w:rPr>
          <w:rFonts w:ascii="Avenir" w:eastAsia="Avenir" w:hAnsi="Avenir" w:cs="Avenir"/>
          <w:sz w:val="22"/>
          <w:szCs w:val="22"/>
        </w:rPr>
        <w:t>touchpoint</w:t>
      </w:r>
      <w:proofErr w:type="spellEnd"/>
      <w:r>
        <w:rPr>
          <w:rFonts w:ascii="Avenir" w:eastAsia="Avenir" w:hAnsi="Avenir" w:cs="Avenir"/>
          <w:sz w:val="22"/>
          <w:szCs w:val="22"/>
        </w:rPr>
        <w:t>,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indipendentemente dal fatto che i clienti interagiscano direttamente con un'azienda o tramite terzi.</w:t>
      </w:r>
    </w:p>
    <w:p w14:paraId="13BC3774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36A806CD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4) Il cliente medio è propenso a interrompere i rapporti dopo meno di tre cattive esperienze</w:t>
      </w:r>
    </w:p>
    <w:p w14:paraId="6719C003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61E80F40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Secondo lo studio, metà dei consumatori sostiene che le aziende </w:t>
      </w:r>
      <w:proofErr w:type="gramStart"/>
      <w:r>
        <w:rPr>
          <w:rFonts w:ascii="Avenir" w:eastAsia="Avenir" w:hAnsi="Avenir" w:cs="Avenir"/>
          <w:color w:val="000000"/>
          <w:sz w:val="22"/>
          <w:szCs w:val="22"/>
        </w:rPr>
        <w:t>stiano</w:t>
      </w:r>
      <w:proofErr w:type="gramEnd"/>
      <w:r>
        <w:rPr>
          <w:rFonts w:ascii="Avenir" w:eastAsia="Avenir" w:hAnsi="Avenir" w:cs="Avenir"/>
          <w:color w:val="000000"/>
          <w:sz w:val="22"/>
          <w:szCs w:val="22"/>
        </w:rPr>
        <w:t xml:space="preserve"> scegliendo soluzioni rapide ma poco efficaci, che hanno un impatto negativo sulla loro esperienza. Emerge anche che i consumatori si stanno allontanando dai marchi dopo una media di 2,4 cattive esperienze. Non solo! Ci vogliono circa 6,5 buone </w:t>
      </w:r>
      <w:r>
        <w:rPr>
          <w:rFonts w:ascii="Avenir" w:eastAsia="Avenir" w:hAnsi="Avenir" w:cs="Avenir"/>
          <w:color w:val="000000"/>
          <w:sz w:val="22"/>
          <w:szCs w:val="22"/>
        </w:rPr>
        <w:lastRenderedPageBreak/>
        <w:t>esperienze affinché i clienti diventino nuovamente fedeli dopo aver interrotto i rapporti. "È molto più facile tenerli e fare ciò che devi fare per mantenerli da un punto di vista esperienziale piuttosto che riconquistarli dopo che se ne sono andati", spiega Richards.</w:t>
      </w:r>
    </w:p>
    <w:p w14:paraId="1E9DF420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2CAB3C5A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5) La personalizzazione è un potente motore per la scelta del marchio</w:t>
      </w:r>
    </w:p>
    <w:p w14:paraId="40372289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1E34B372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Per la maggior parte dei consumatori, le esperienze personalizzate influenzano la scelta del marchio al momento dell'acquisto, e più della metà afferma che le aziende dovrebbero utilizzare la personalizzazione nella maggior parte o nella totalità delle loro interazioni. </w:t>
      </w:r>
    </w:p>
    <w:p w14:paraId="66D4CF70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Allo stesso tempo, però, le società non stanno facendo abbastanza per soddisfare le loro aspettative di personalizzazione: solo un consumatore su quattro ha valutato la sua ultima interazione con un marchio come un'esperienza veramente personalizzata. </w:t>
      </w:r>
    </w:p>
    <w:p w14:paraId="0D26F048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noProof/>
          <w:color w:val="000000"/>
          <w:sz w:val="22"/>
          <w:szCs w:val="22"/>
        </w:rPr>
        <w:drawing>
          <wp:inline distT="0" distB="0" distL="0" distR="0" wp14:anchorId="4E60AE7D" wp14:editId="6E12D8F5">
            <wp:extent cx="4271194" cy="2489264"/>
            <wp:effectExtent l="0" t="0" r="0" b="0"/>
            <wp:docPr id="3" name="image5.png" descr="Immagine che contiene testo, schermata, Carattere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magine che contiene testo, schermata, Carattere, design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194" cy="2489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C9F8C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noProof/>
          <w:color w:val="000000"/>
          <w:sz w:val="22"/>
          <w:szCs w:val="22"/>
        </w:rPr>
        <w:drawing>
          <wp:inline distT="0" distB="0" distL="0" distR="0" wp14:anchorId="641A3041" wp14:editId="5BBA1430">
            <wp:extent cx="4285319" cy="2454788"/>
            <wp:effectExtent l="0" t="0" r="0" b="0"/>
            <wp:docPr id="2" name="image2.png" descr="Immagine che contiene testo, schermata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testo, schermata, design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5319" cy="245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189D7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5A71B7A0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Alcuni degli elementi più importanti della personalizzazione sono la conoscenza dell'identità dei consumatori attraverso i vari punti di contatto e la ricompensa per i clienti fedeli.</w:t>
      </w:r>
    </w:p>
    <w:p w14:paraId="579E49A5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Sebbene la personalizzazione possa avere diversi significati, dal focus è emerso che i marchi ottengono le esperienze personalizzate quando:</w:t>
      </w:r>
    </w:p>
    <w:p w14:paraId="6E7C1495" w14:textId="77777777" w:rsidR="00133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Assicurano la continuità della conoscenza: hanno la capacità di tenere traccia dei consumatori attraverso le interazioni senza richiedere ulteriori registrazioni, conoscono le loro esigenze e la loro storia quando passano da un canale all'altro.</w:t>
      </w:r>
    </w:p>
    <w:p w14:paraId="292E8992" w14:textId="77777777" w:rsidR="00133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lastRenderedPageBreak/>
        <w:t xml:space="preserve">Offrono premi e riconoscimenti e flessibilità del servizio (comprensione per i pagamenti in ritardo, resi, ecc.) in linea con le aspettative dei clienti. </w:t>
      </w:r>
    </w:p>
    <w:p w14:paraId="7960802D" w14:textId="77777777" w:rsidR="001336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Raggiungono proattivamente i clienti quando vengono rilevati errori o problemi.</w:t>
      </w:r>
    </w:p>
    <w:p w14:paraId="06222BE6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67FAB93F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noProof/>
          <w:color w:val="000000"/>
          <w:sz w:val="22"/>
          <w:szCs w:val="22"/>
        </w:rPr>
        <w:drawing>
          <wp:inline distT="0" distB="0" distL="0" distR="0" wp14:anchorId="0CA568D5" wp14:editId="01C0E1F1">
            <wp:extent cx="3379622" cy="1419149"/>
            <wp:effectExtent l="0" t="0" r="0" b="3810"/>
            <wp:docPr id="5" name="image3.png" descr="Immagine che contiene testo, Carattere, Sito Web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testo, Carattere, Sito Web, schermata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397" cy="1428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1838D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07406DA6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6) Le aziende utilizzano l'Intelligenza Artificiale per risparmiare tempo nella creazione di nuovi concetti, ottimizzare le informazioni riguardo al Customer </w:t>
      </w:r>
      <w:proofErr w:type="spellStart"/>
      <w:r>
        <w:rPr>
          <w:rFonts w:ascii="Avenir" w:eastAsia="Avenir" w:hAnsi="Avenir" w:cs="Avenir"/>
          <w:b/>
          <w:color w:val="000000"/>
          <w:sz w:val="22"/>
          <w:szCs w:val="22"/>
        </w:rPr>
        <w:t>Journey</w:t>
      </w:r>
      <w:proofErr w:type="spellEnd"/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e misurare le prestazioni delle campagne</w:t>
      </w:r>
    </w:p>
    <w:p w14:paraId="4DBB4056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23A00493" w14:textId="4BA016BB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In particolare, l’IA generativa – in grado di generare testo, immagini, video, musica o altri media </w:t>
      </w:r>
      <w:r w:rsidR="00D82D2C">
        <w:rPr>
          <w:rFonts w:ascii="Avenir" w:eastAsia="Avenir" w:hAnsi="Avenir" w:cs="Avenir"/>
          <w:color w:val="000000"/>
          <w:sz w:val="22"/>
          <w:szCs w:val="22"/>
        </w:rPr>
        <w:t>– facilita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la personalizzazione in tutte le interazioni, dal digitale al servizio clienti, attraverso un rapporto costante e adattabile, grazie al feedback continuo. Il recupero delle informazioni è facilitato e accelerato dall’IA generativa e predittiva, consentendo agli utenti di ottenere dati con il minimo sforzo. </w:t>
      </w:r>
    </w:p>
    <w:p w14:paraId="4CDC535E" w14:textId="5794D64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Le società utilizzano l'IA generativa per la personalizzazione in diversi modi, e i tre casi di utilizzo maggiore per risparmiare tempo – identificati dai ricercatori di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Medallia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e Adobe – riguardano lo sviluppo di nuovi concetti, l'ottimizzazione del pubblico e la misurazione delle prestazioni.</w:t>
      </w:r>
    </w:p>
    <w:p w14:paraId="3B77206E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6423E949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7) Il nuovo Customer </w:t>
      </w:r>
      <w:proofErr w:type="spellStart"/>
      <w:r>
        <w:rPr>
          <w:rFonts w:ascii="Avenir" w:eastAsia="Avenir" w:hAnsi="Avenir" w:cs="Avenir"/>
          <w:b/>
          <w:color w:val="000000"/>
          <w:sz w:val="22"/>
          <w:szCs w:val="22"/>
        </w:rPr>
        <w:t>Journey</w:t>
      </w:r>
      <w:proofErr w:type="spellEnd"/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non è né interamente digitale, né interamente fisico</w:t>
      </w:r>
    </w:p>
    <w:p w14:paraId="50B980BE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778CD016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Quando si chiede di descrivere il loro percorso di acquisto per eventi come il Black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Friday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o il Cyber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Monday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, ciò che emerge dal focus è che "molti consumatori - in alcuni casi in proporzioni molto elevate - non seguono un percorso interamente digitale o interamente fisico". </w:t>
      </w:r>
    </w:p>
    <w:p w14:paraId="7017DEBD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Emerge un approccio più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omnicanale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o misto, in cui le attività di navigazione e ricerca avvengono in un canale, mentre l'acquisto in un altro e la consegna del prodotto, o il ritiro, avviene di nuovo attraverso il primo canale, o in una modalità completamente diversa. Di conseguenza, i </w:t>
      </w:r>
      <w:proofErr w:type="gramStart"/>
      <w:r>
        <w:rPr>
          <w:rFonts w:ascii="Avenir" w:eastAsia="Avenir" w:hAnsi="Avenir" w:cs="Avenir"/>
          <w:color w:val="000000"/>
          <w:sz w:val="22"/>
          <w:szCs w:val="22"/>
        </w:rPr>
        <w:t>brand</w:t>
      </w:r>
      <w:proofErr w:type="gramEnd"/>
      <w:r>
        <w:rPr>
          <w:rFonts w:ascii="Avenir" w:eastAsia="Avenir" w:hAnsi="Avenir" w:cs="Avenir"/>
          <w:color w:val="000000"/>
          <w:sz w:val="22"/>
          <w:szCs w:val="22"/>
        </w:rPr>
        <w:t xml:space="preserve"> devono adattarsi a gestire le esperienze attraverso tutti i canali, altrimenti rischiano di perdere i clienti. Infatti, secondo la ricerca, uno dei tre motivi principali per cui i consumatori abbandonano un marchio è la mancanza di un'esperienza fisica e digitale senza soluzione di continuità. </w:t>
      </w:r>
    </w:p>
    <w:p w14:paraId="5EC8F783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5ECC4A5C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8) I retailer devono assicurarsi che le opzioni di pagamento “</w:t>
      </w:r>
      <w:proofErr w:type="spellStart"/>
      <w:r>
        <w:rPr>
          <w:rFonts w:ascii="Avenir" w:eastAsia="Avenir" w:hAnsi="Avenir" w:cs="Avenir"/>
          <w:b/>
          <w:i/>
          <w:color w:val="000000"/>
          <w:sz w:val="22"/>
          <w:szCs w:val="22"/>
        </w:rPr>
        <w:t>buy-now</w:t>
      </w:r>
      <w:proofErr w:type="spellEnd"/>
      <w:r>
        <w:rPr>
          <w:rFonts w:ascii="Avenir" w:eastAsia="Avenir" w:hAnsi="Avenir" w:cs="Avenir"/>
          <w:b/>
          <w:i/>
          <w:color w:val="000000"/>
          <w:sz w:val="22"/>
          <w:szCs w:val="22"/>
        </w:rPr>
        <w:t xml:space="preserve">, </w:t>
      </w:r>
      <w:proofErr w:type="spellStart"/>
      <w:r>
        <w:rPr>
          <w:rFonts w:ascii="Avenir" w:eastAsia="Avenir" w:hAnsi="Avenir" w:cs="Avenir"/>
          <w:b/>
          <w:i/>
          <w:color w:val="000000"/>
          <w:sz w:val="22"/>
          <w:szCs w:val="22"/>
        </w:rPr>
        <w:t>pay-later</w:t>
      </w:r>
      <w:proofErr w:type="spellEnd"/>
      <w:r>
        <w:rPr>
          <w:rFonts w:ascii="Avenir" w:eastAsia="Avenir" w:hAnsi="Avenir" w:cs="Avenir"/>
          <w:b/>
          <w:i/>
          <w:color w:val="000000"/>
          <w:sz w:val="22"/>
          <w:szCs w:val="22"/>
        </w:rPr>
        <w:t>”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siano perfettamente integrate nell'esperienza digitale dei clienti</w:t>
      </w:r>
    </w:p>
    <w:p w14:paraId="5E4D893B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5F968628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Secondo i dati presentati, le opzioni "compra ora, paghi dopo" hanno rappresentato 16,6 miliardi di dollari di vendite nel periodo di shopping natalizio del 2023 (in USA) e 75 miliardi di dollari di spesa totale. Si tratta di una crescita del 14% rispetto all'anno precedente. È una modalità per avere una gratificazione immediata e per diluire i pagamenti nel tempo.</w:t>
      </w:r>
    </w:p>
    <w:p w14:paraId="2CA591B0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I retailer devono assicurarsi che l’opzione "compra ora, paghi dopo" sia perfettamente integrata nell'esperienza di cassa e non vissuta come un'offerta separata e autonoma, che sottrae i clienti all'esperienza complessiva. Le relative piattaforme offrono una grande quantità di segnali riguardo al comportamento e alle preferenze dei consumatori. I rivenditori che utilizzano questi dati come parte dei profili-clienti ottengono una migliore comprensione del modo in cui gli utenti interagiscono con il loro marchio.</w:t>
      </w:r>
    </w:p>
    <w:p w14:paraId="66D2C8A7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3F68A5F4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lastRenderedPageBreak/>
        <w:t>9) I marchi leader stanno investendo in dati unificati e capacità di analisi predittiva, contenuti su misura e soluzioni di orchestrazione dei percorsi per offrire personalizzazione su larga scala</w:t>
      </w:r>
    </w:p>
    <w:p w14:paraId="2CB36213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78C643F9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 xml:space="preserve">Le aziende devono avere una visione a 360 gradi del cliente, utilizzare analisi predittive alimentate dall'IA per "presentare i messaggi visivi e verbali giusti" a ciascun cliente e orchestrare in tempo reale percorsi cliente </w:t>
      </w:r>
      <w:proofErr w:type="spellStart"/>
      <w:r>
        <w:rPr>
          <w:rFonts w:ascii="Avenir" w:eastAsia="Avenir" w:hAnsi="Avenir" w:cs="Avenir"/>
          <w:color w:val="000000"/>
          <w:sz w:val="22"/>
          <w:szCs w:val="22"/>
        </w:rPr>
        <w:t>omnicanale</w:t>
      </w:r>
      <w:proofErr w:type="spellEnd"/>
      <w:r>
        <w:rPr>
          <w:rFonts w:ascii="Avenir" w:eastAsia="Avenir" w:hAnsi="Avenir" w:cs="Avenir"/>
          <w:color w:val="000000"/>
          <w:sz w:val="22"/>
          <w:szCs w:val="22"/>
        </w:rPr>
        <w:t xml:space="preserve"> attivati dal comportamento attraverso punti di contatto fisici e digitali che offrono la prossima migliore esperienza per i clienti. "C'è una grande differenza tra quello che chiameremo 'personalizzazione' e 'personalizzazione su larga scala” afferma Richards. La parola 'scala' è critica perché ci sono molti marchi fiduciosi nella loro capacità di personalizzare, ma lo stanno facendo forse solo in un canale quando i consumatori stanno interagendo con l’azienda in molti modi diversi. “Quindi, se non stai capendo come parlare con ogni cliente su ogni canale in tempo reale, che è la parte 'su larga scala', stai perdendo una grande opportunità di personalizzare tutta la loro esperienza" conclude Richards.</w:t>
      </w:r>
    </w:p>
    <w:p w14:paraId="692A95D3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21C2AEEC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10) I telefoni cellulari sono il collegamento chiave tra le esperienze fisiche e digitali</w:t>
      </w:r>
    </w:p>
    <w:p w14:paraId="44BD6375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309D6389" w14:textId="03ED538A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Le app mobili stanno rapidamente diventando uno dei modi principali – se non il principale – con cui i consumatori interagiscono digitalmente con i marchi. Tuttavia, il 37% afferma che la loro interazione più recente con l'app comprendeva un canale aggiuntivo: di persona, al telefono o sul sito web dell'azienda. Ecco perché molte realtà stanno potenziando le funzionalità delle app e migliorando le caratteristiche del loro utilizzo in negozio. Come? I consumatori desiderano informazioni più accurate in tempo reale, minori problemi tecnici, tempi di caricamento più veloci, più promozioni in store e migliori caratteristiche di privacy e sicurezza.</w:t>
      </w:r>
    </w:p>
    <w:p w14:paraId="2100450E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2265EC1A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noProof/>
          <w:color w:val="000000"/>
          <w:sz w:val="22"/>
          <w:szCs w:val="22"/>
        </w:rPr>
        <w:drawing>
          <wp:inline distT="0" distB="0" distL="0" distR="0" wp14:anchorId="3BEB4356" wp14:editId="3CFDEC4F">
            <wp:extent cx="4052620" cy="2084832"/>
            <wp:effectExtent l="0" t="0" r="0" b="0"/>
            <wp:docPr id="4" name="image1.png" descr="Immagine che contiene testo, schermata, Carattere, Sito Web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schermata, Carattere, Sito Web&#10;&#10;Descrizione generat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2385" cy="208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1F55E5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3C2F11BA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11) I social sono un fattore importantissimo nel guidare la scoperta di prodotti</w:t>
      </w:r>
    </w:p>
    <w:p w14:paraId="74C7D6BF" w14:textId="77777777" w:rsidR="001336D1" w:rsidRDefault="001336D1">
      <w:pPr>
        <w:jc w:val="both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318656D9" w14:textId="77777777" w:rsidR="001336D1" w:rsidRDefault="00000000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Quattro consumatori su dieci dicono che ora è più probabile che scoprano prodotti e marchi sui social media rispetto a un anno fa; il 35% afferma di aver appreso di nuovi articoli su TikTok e il 42% tramite Facebook. Se i marchi vogliono diventare più efficaci nel raggiungere i consumatori è importante prestare attenzione a dove questi trascorrono più tempo online. La generazione Z è più propensa a consumare contenuti generati dagli utenti, rispetto alle generazioni più anziane che si affidano ai media tradizionali.</w:t>
      </w:r>
    </w:p>
    <w:p w14:paraId="09BE873F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6D572924" w14:textId="77777777" w:rsidR="001336D1" w:rsidRDefault="001336D1">
      <w:pPr>
        <w:jc w:val="both"/>
        <w:rPr>
          <w:rFonts w:ascii="Avenir" w:eastAsia="Avenir" w:hAnsi="Avenir" w:cs="Avenir"/>
          <w:color w:val="000000"/>
          <w:sz w:val="22"/>
          <w:szCs w:val="22"/>
        </w:rPr>
      </w:pPr>
    </w:p>
    <w:p w14:paraId="43D23F31" w14:textId="77777777" w:rsidR="001336D1" w:rsidRDefault="00000000">
      <w:pPr>
        <w:jc w:val="both"/>
        <w:rPr>
          <w:rFonts w:ascii="Avenir" w:eastAsia="Avenir" w:hAnsi="Avenir" w:cs="Avenir"/>
          <w:b/>
          <w:color w:val="000000"/>
          <w:sz w:val="16"/>
          <w:szCs w:val="16"/>
        </w:rPr>
      </w:pPr>
      <w:r>
        <w:rPr>
          <w:rFonts w:ascii="Avenir" w:eastAsia="Avenir" w:hAnsi="Avenir" w:cs="Avenir"/>
          <w:b/>
          <w:color w:val="000000"/>
          <w:sz w:val="16"/>
          <w:szCs w:val="16"/>
        </w:rPr>
        <w:t xml:space="preserve">Informazioni su </w:t>
      </w:r>
      <w:proofErr w:type="spellStart"/>
      <w:r>
        <w:rPr>
          <w:rFonts w:ascii="Avenir" w:eastAsia="Avenir" w:hAnsi="Avenir" w:cs="Avenir"/>
          <w:b/>
          <w:color w:val="000000"/>
          <w:sz w:val="16"/>
          <w:szCs w:val="16"/>
        </w:rPr>
        <w:t>Medallia</w:t>
      </w:r>
      <w:proofErr w:type="spellEnd"/>
    </w:p>
    <w:p w14:paraId="73CF110A" w14:textId="77777777" w:rsidR="001336D1" w:rsidRDefault="001336D1">
      <w:pPr>
        <w:jc w:val="both"/>
        <w:rPr>
          <w:rFonts w:ascii="Avenir" w:eastAsia="Avenir" w:hAnsi="Avenir" w:cs="Avenir"/>
          <w:color w:val="000000"/>
          <w:sz w:val="16"/>
          <w:szCs w:val="16"/>
        </w:rPr>
      </w:pPr>
    </w:p>
    <w:p w14:paraId="69CDAF75" w14:textId="77777777" w:rsidR="001336D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16"/>
          <w:szCs w:val="16"/>
        </w:rPr>
      </w:pPr>
      <w:hyperlink r:id="rId11">
        <w:proofErr w:type="spellStart"/>
        <w:r>
          <w:rPr>
            <w:rFonts w:ascii="Avenir" w:eastAsia="Avenir" w:hAnsi="Avenir" w:cs="Avenir"/>
            <w:color w:val="0000FF"/>
            <w:sz w:val="16"/>
            <w:szCs w:val="16"/>
            <w:u w:val="single"/>
          </w:rPr>
          <w:t>Medallia</w:t>
        </w:r>
        <w:proofErr w:type="spellEnd"/>
      </w:hyperlink>
      <w:r>
        <w:rPr>
          <w:rFonts w:ascii="Avenir" w:eastAsia="Avenir" w:hAnsi="Avenir" w:cs="Avenir"/>
          <w:color w:val="000000"/>
          <w:sz w:val="16"/>
          <w:szCs w:val="16"/>
        </w:rPr>
        <w:t xml:space="preserve"> è pioniere e leader di mercato nel settore dell'Experience Management. La pluripremiata piattaforma SaaS di </w:t>
      </w:r>
      <w:proofErr w:type="spellStart"/>
      <w:r>
        <w:rPr>
          <w:rFonts w:ascii="Avenir" w:eastAsia="Avenir" w:hAnsi="Avenir" w:cs="Avenir"/>
          <w:color w:val="000000"/>
          <w:sz w:val="16"/>
          <w:szCs w:val="16"/>
        </w:rPr>
        <w:t>Medallia</w:t>
      </w:r>
      <w:proofErr w:type="spellEnd"/>
      <w:r>
        <w:rPr>
          <w:rFonts w:ascii="Avenir" w:eastAsia="Avenir" w:hAnsi="Avenir" w:cs="Avenir"/>
          <w:color w:val="000000"/>
          <w:sz w:val="16"/>
          <w:szCs w:val="16"/>
        </w:rPr>
        <w:t xml:space="preserve">, </w:t>
      </w:r>
      <w:proofErr w:type="spellStart"/>
      <w:r>
        <w:rPr>
          <w:rFonts w:ascii="Avenir" w:eastAsia="Avenir" w:hAnsi="Avenir" w:cs="Avenir"/>
          <w:color w:val="000000"/>
          <w:sz w:val="16"/>
          <w:szCs w:val="16"/>
        </w:rPr>
        <w:t>Medallia</w:t>
      </w:r>
      <w:proofErr w:type="spellEnd"/>
      <w:r>
        <w:rPr>
          <w:rFonts w:ascii="Avenir" w:eastAsia="Avenir" w:hAnsi="Avenir" w:cs="Avenir"/>
          <w:color w:val="000000"/>
          <w:sz w:val="16"/>
          <w:szCs w:val="16"/>
        </w:rPr>
        <w:t xml:space="preserve"> Experience Cloud, guida il mercato nella comprensione e nella gestione dell'esperienza dei clienti, dei dipendenti e dei cittadini, rende consapevoli le aziende e gli enti  dei segnali di esperienza generati durante le connessioni quotidiane fisiche, tramite chiamate e l’uso dei canali digitali, di video e dei social media e sulle interazioni IoT e applica la tecnologia AI brevettata per fornire insight personalizzati e predittivi in grado di guidare decisioni e azioni con risultati di business straordinari. Utilizzando </w:t>
      </w:r>
      <w:proofErr w:type="spellStart"/>
      <w:r>
        <w:rPr>
          <w:rFonts w:ascii="Avenir" w:eastAsia="Avenir" w:hAnsi="Avenir" w:cs="Avenir"/>
          <w:color w:val="000000"/>
          <w:sz w:val="16"/>
          <w:szCs w:val="16"/>
        </w:rPr>
        <w:t>Medallia</w:t>
      </w:r>
      <w:proofErr w:type="spellEnd"/>
      <w:r>
        <w:rPr>
          <w:rFonts w:ascii="Avenir" w:eastAsia="Avenir" w:hAnsi="Avenir" w:cs="Avenir"/>
          <w:color w:val="000000"/>
          <w:sz w:val="16"/>
          <w:szCs w:val="16"/>
        </w:rPr>
        <w:t xml:space="preserve"> Experience Cloud, i clienti possono ridurre l’abbandono, trasformare i detrattori in promotori e acquirenti, creare </w:t>
      </w:r>
      <w:r>
        <w:rPr>
          <w:rFonts w:ascii="Avenir" w:eastAsia="Avenir" w:hAnsi="Avenir" w:cs="Avenir"/>
          <w:color w:val="000000"/>
          <w:sz w:val="16"/>
          <w:szCs w:val="16"/>
        </w:rPr>
        <w:lastRenderedPageBreak/>
        <w:t>opportunità di cross-selling e up-selling al momento giusto e guidare le decisioni di business con un impatto sui ricavi, offrendo un ritorno sugli investimenti chiaro e potente.</w:t>
      </w:r>
    </w:p>
    <w:p w14:paraId="12D0FB0A" w14:textId="77777777" w:rsidR="001336D1" w:rsidRDefault="00000000">
      <w:pPr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 </w:t>
      </w:r>
    </w:p>
    <w:p w14:paraId="629696A8" w14:textId="77777777" w:rsidR="001336D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venir" w:eastAsia="Avenir" w:hAnsi="Avenir" w:cs="Avenir"/>
          <w:b/>
          <w:color w:val="000000"/>
          <w:sz w:val="20"/>
          <w:szCs w:val="20"/>
        </w:rPr>
        <w:t>Per ulteriori informazioni:</w:t>
      </w:r>
    </w:p>
    <w:p w14:paraId="461E95CE" w14:textId="77777777" w:rsidR="001336D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>First Class PR</w:t>
      </w:r>
    </w:p>
    <w:p w14:paraId="5E11D714" w14:textId="745F5741" w:rsidR="001336D1" w:rsidRPr="00D82D2C" w:rsidRDefault="00000000" w:rsidP="00D82D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venir" w:eastAsia="Avenir" w:hAnsi="Avenir" w:cs="Avenir"/>
          <w:color w:val="000000"/>
          <w:sz w:val="20"/>
          <w:szCs w:val="20"/>
        </w:rPr>
      </w:pPr>
      <w:hyperlink r:id="rId12">
        <w:r>
          <w:rPr>
            <w:rFonts w:ascii="Avenir" w:eastAsia="Avenir" w:hAnsi="Avenir" w:cs="Avenir"/>
            <w:color w:val="000000"/>
            <w:sz w:val="20"/>
            <w:szCs w:val="20"/>
          </w:rPr>
          <w:t>medallia@firstclasspr.it</w:t>
        </w:r>
      </w:hyperlink>
      <w:r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br/>
      </w:r>
    </w:p>
    <w:p w14:paraId="6D751512" w14:textId="77777777" w:rsidR="001336D1" w:rsidRDefault="001336D1">
      <w:pPr>
        <w:rPr>
          <w:rFonts w:ascii="Times New Roman" w:eastAsia="Times New Roman" w:hAnsi="Times New Roman" w:cs="Times New Roman"/>
        </w:rPr>
      </w:pPr>
    </w:p>
    <w:p w14:paraId="3FB64894" w14:textId="77777777" w:rsidR="001336D1" w:rsidRDefault="001336D1">
      <w:pPr>
        <w:jc w:val="both"/>
        <w:rPr>
          <w:rFonts w:ascii="Avenir" w:eastAsia="Avenir" w:hAnsi="Avenir" w:cs="Avenir"/>
          <w:color w:val="000000"/>
          <w:sz w:val="20"/>
          <w:szCs w:val="20"/>
        </w:rPr>
      </w:pPr>
    </w:p>
    <w:p w14:paraId="4F0B251D" w14:textId="77777777" w:rsidR="001336D1" w:rsidRDefault="001336D1">
      <w:pPr>
        <w:spacing w:after="240"/>
        <w:jc w:val="both"/>
        <w:rPr>
          <w:rFonts w:ascii="Avenir" w:eastAsia="Avenir" w:hAnsi="Avenir" w:cs="Avenir"/>
          <w:sz w:val="20"/>
          <w:szCs w:val="20"/>
        </w:rPr>
      </w:pPr>
    </w:p>
    <w:p w14:paraId="799BB115" w14:textId="77777777" w:rsidR="001336D1" w:rsidRDefault="001336D1">
      <w:pPr>
        <w:jc w:val="both"/>
        <w:rPr>
          <w:rFonts w:ascii="Avenir" w:eastAsia="Avenir" w:hAnsi="Avenir" w:cs="Avenir"/>
          <w:sz w:val="20"/>
          <w:szCs w:val="20"/>
        </w:rPr>
      </w:pPr>
    </w:p>
    <w:p w14:paraId="64E573E1" w14:textId="77777777" w:rsidR="001336D1" w:rsidRDefault="001336D1">
      <w:pPr>
        <w:rPr>
          <w:rFonts w:ascii="Avenir" w:eastAsia="Avenir" w:hAnsi="Avenir" w:cs="Avenir"/>
          <w:sz w:val="20"/>
          <w:szCs w:val="20"/>
        </w:rPr>
      </w:pPr>
    </w:p>
    <w:sectPr w:rsidR="001336D1">
      <w:pgSz w:w="12240" w:h="15840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9A81357-BC29-43D0-88D0-5CAA5BA38A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3EDA8A-7F0F-4FBF-A629-33B4F328E1E0}"/>
    <w:embedBold r:id="rId3" w:fontKey="{61B1C705-3A92-495A-8ED2-7B7CB63971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15D858-E9B1-4D0C-9E65-65DD1776FA35}"/>
    <w:embedItalic r:id="rId5" w:fontKey="{74E72C89-C61D-4FEF-8487-2B27ABD9D2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35A6FE-4438-483D-8876-5E8592B8DB2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45BDD"/>
    <w:multiLevelType w:val="multilevel"/>
    <w:tmpl w:val="C8A4F640"/>
    <w:lvl w:ilvl="0">
      <w:numFmt w:val="bullet"/>
      <w:lvlText w:val="•"/>
      <w:lvlJc w:val="left"/>
      <w:pPr>
        <w:ind w:left="1080" w:hanging="720"/>
      </w:pPr>
      <w:rPr>
        <w:rFonts w:ascii="Avenir" w:eastAsia="Avenir" w:hAnsi="Avenir" w:cs="Aveni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4110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6D1"/>
    <w:rsid w:val="000360AD"/>
    <w:rsid w:val="001336D1"/>
    <w:rsid w:val="001D51E0"/>
    <w:rsid w:val="00B933C0"/>
    <w:rsid w:val="00D8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9230"/>
  <w15:docId w15:val="{F2ACC8A5-A75A-874B-BD07-D83DCA2B9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medallia@firstclass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edallia.com/" TargetMode="External"/><Relationship Id="rId11" Type="http://schemas.openxmlformats.org/officeDocument/2006/relationships/hyperlink" Target="https://www.medallia.com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1745</Words>
  <Characters>9949</Characters>
  <Application>Microsoft Office Word</Application>
  <DocSecurity>0</DocSecurity>
  <Lines>82</Lines>
  <Paragraphs>23</Paragraphs>
  <ScaleCrop>false</ScaleCrop>
  <Company/>
  <LinksUpToDate>false</LinksUpToDate>
  <CharactersWithSpaces>11671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lidia pregnolato</cp:lastModifiedBy>
  <cp:revision>2</cp:revision>
  <dcterms:created xsi:type="dcterms:W3CDTF">2024-04-18T09:20:00Z</dcterms:created>
  <dcterms:modified xsi:type="dcterms:W3CDTF">2024-04-18T09:20:00Z</dcterms:modified>
</cp:coreProperties>
</file>