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FFD5" w14:textId="7767E90A" w:rsidR="0044606D" w:rsidRPr="0044606D" w:rsidRDefault="0044606D" w:rsidP="0044606D">
      <w:pPr>
        <w:rPr>
          <w:b/>
          <w:bCs/>
        </w:rPr>
      </w:pPr>
      <w:r w:rsidRPr="0044606D">
        <w:rPr>
          <w:b/>
          <w:bCs/>
        </w:rPr>
        <w:t>TCW</w:t>
      </w:r>
      <w:r w:rsidR="00297C77">
        <w:rPr>
          <w:b/>
          <w:bCs/>
        </w:rPr>
        <w:t xml:space="preserve"> </w:t>
      </w:r>
      <w:r w:rsidR="009D4CAC">
        <w:rPr>
          <w:b/>
          <w:bCs/>
        </w:rPr>
        <w:t xml:space="preserve">– Reddito fisso: </w:t>
      </w:r>
      <w:r w:rsidR="00F752A5">
        <w:rPr>
          <w:b/>
          <w:bCs/>
        </w:rPr>
        <w:t xml:space="preserve">come posizionare il portafoglio </w:t>
      </w:r>
      <w:r w:rsidR="009D4CAC">
        <w:rPr>
          <w:b/>
          <w:bCs/>
        </w:rPr>
        <w:t>se l’economia degli USA</w:t>
      </w:r>
      <w:r w:rsidR="006672CA">
        <w:rPr>
          <w:b/>
          <w:bCs/>
        </w:rPr>
        <w:t xml:space="preserve"> inizia a</w:t>
      </w:r>
      <w:r w:rsidR="009D4CAC">
        <w:rPr>
          <w:b/>
          <w:bCs/>
        </w:rPr>
        <w:t xml:space="preserve"> rallenta</w:t>
      </w:r>
      <w:r w:rsidR="006672CA">
        <w:rPr>
          <w:b/>
          <w:bCs/>
        </w:rPr>
        <w:t>re</w:t>
      </w:r>
    </w:p>
    <w:p w14:paraId="61E79521" w14:textId="686419E5" w:rsidR="0044606D" w:rsidRPr="0044606D" w:rsidRDefault="0044606D" w:rsidP="0044606D">
      <w:pPr>
        <w:rPr>
          <w:b/>
          <w:bCs/>
        </w:rPr>
      </w:pPr>
      <w:r>
        <w:t xml:space="preserve">A cura di </w:t>
      </w:r>
      <w:r w:rsidRPr="0044606D">
        <w:rPr>
          <w:b/>
          <w:bCs/>
        </w:rPr>
        <w:t>Br</w:t>
      </w:r>
      <w:r w:rsidR="002D10FE">
        <w:rPr>
          <w:b/>
          <w:bCs/>
        </w:rPr>
        <w:t>y</w:t>
      </w:r>
      <w:r w:rsidRPr="0044606D">
        <w:rPr>
          <w:b/>
          <w:bCs/>
        </w:rPr>
        <w:t>an Whalen, CIO Fixed Income, e Tammy Karp, Senior Portfolio Manager, TCW</w:t>
      </w:r>
    </w:p>
    <w:p w14:paraId="77A53B7E" w14:textId="553415E9" w:rsidR="00E935C3" w:rsidRPr="00325789" w:rsidRDefault="00297C77" w:rsidP="0044606D">
      <w:r w:rsidRPr="00325789">
        <w:rPr>
          <w:color w:val="FF0000"/>
        </w:rPr>
        <w:br/>
      </w:r>
      <w:r w:rsidR="00F75D97" w:rsidRPr="00454B95">
        <w:t xml:space="preserve">Guardando all'economia statunitense nel 2024, il bicchiere </w:t>
      </w:r>
      <w:r w:rsidR="00F75D97">
        <w:t xml:space="preserve">è </w:t>
      </w:r>
      <w:r w:rsidR="00F75D97" w:rsidRPr="00454B95">
        <w:t xml:space="preserve">mezzo pieno </w:t>
      </w:r>
      <w:r w:rsidR="00F75D97">
        <w:t>o</w:t>
      </w:r>
      <w:r w:rsidR="00F75D97" w:rsidRPr="00454B95">
        <w:t xml:space="preserve"> mezzo vuoto? I</w:t>
      </w:r>
      <w:r w:rsidR="00F75D97" w:rsidRPr="00454B95">
        <w:rPr>
          <w:b/>
          <w:bCs/>
        </w:rPr>
        <w:t xml:space="preserve"> segnali di un graduale rallentamento sono evidenti</w:t>
      </w:r>
      <w:r w:rsidR="00F75D97">
        <w:rPr>
          <w:b/>
          <w:bCs/>
        </w:rPr>
        <w:t>:</w:t>
      </w:r>
      <w:r w:rsidR="00F75D97" w:rsidRPr="00454B95">
        <w:rPr>
          <w:b/>
          <w:bCs/>
        </w:rPr>
        <w:t xml:space="preserve"> i mercati sembrano aspettarsi chiaramente un atterraggio morbido, ma non sanno dove andare. La recessione resta</w:t>
      </w:r>
      <w:r w:rsidR="00F75D97">
        <w:rPr>
          <w:b/>
          <w:bCs/>
        </w:rPr>
        <w:t xml:space="preserve"> comunque</w:t>
      </w:r>
      <w:r w:rsidR="00F75D97" w:rsidRPr="00454B95">
        <w:rPr>
          <w:b/>
          <w:bCs/>
        </w:rPr>
        <w:t xml:space="preserve"> il nostro scenario di base. </w:t>
      </w:r>
      <w:r w:rsidR="00F75D97" w:rsidRPr="00454B95">
        <w:t xml:space="preserve">Ci aspettavamo che </w:t>
      </w:r>
      <w:r w:rsidR="00C615F0">
        <w:t xml:space="preserve">il </w:t>
      </w:r>
      <w:r w:rsidR="00F75D97" w:rsidRPr="00454B95">
        <w:t>rallentamento</w:t>
      </w:r>
      <w:r w:rsidR="00C615F0">
        <w:t xml:space="preserve"> dell’economia fosse di lunga durata</w:t>
      </w:r>
      <w:r w:rsidR="00F75D97" w:rsidRPr="00454B95">
        <w:t>, come la maggior parte dei rallentamenti causati da</w:t>
      </w:r>
      <w:r w:rsidR="00F75D97">
        <w:t xml:space="preserve"> una</w:t>
      </w:r>
      <w:r w:rsidR="00F75D97" w:rsidRPr="00454B95">
        <w:t xml:space="preserve"> stretta monetaria.</w:t>
      </w:r>
      <w:r w:rsidR="00924E0E">
        <w:t xml:space="preserve"> Questo scenario si sta realizzando</w:t>
      </w:r>
      <w:r w:rsidR="00F75D97" w:rsidRPr="00454B95">
        <w:t>. Sono passati circa otto mesi da quando il tasso dei Fed funds ha probabilmente raggiunto il suo massimo.</w:t>
      </w:r>
      <w:r w:rsidR="00F41F00">
        <w:t xml:space="preserve"> </w:t>
      </w:r>
      <w:r w:rsidR="00E935C3" w:rsidRPr="00325789">
        <w:t xml:space="preserve">La storia ci dice che </w:t>
      </w:r>
      <w:r w:rsidR="00E935C3" w:rsidRPr="00325789">
        <w:rPr>
          <w:b/>
          <w:bCs/>
        </w:rPr>
        <w:t>in questo periodo dovrebbe verificarsi una recessione o almeno un forte rallentamento</w:t>
      </w:r>
      <w:r w:rsidR="00E935C3" w:rsidRPr="00325789">
        <w:t xml:space="preserve"> economico.</w:t>
      </w:r>
      <w:r w:rsidR="009D4CAC">
        <w:t xml:space="preserve"> </w:t>
      </w:r>
      <w:r w:rsidR="00EC46B1">
        <w:t>Anche q</w:t>
      </w:r>
      <w:r w:rsidR="00E935C3" w:rsidRPr="00325789">
        <w:t xml:space="preserve">uesta volta </w:t>
      </w:r>
      <w:r w:rsidR="00EC46B1">
        <w:t xml:space="preserve">sembra non esserci </w:t>
      </w:r>
      <w:r w:rsidR="00E935C3" w:rsidRPr="00325789">
        <w:t>nulla di diverso</w:t>
      </w:r>
      <w:r w:rsidR="009D4CAC">
        <w:t xml:space="preserve">, </w:t>
      </w:r>
      <w:r w:rsidR="003A75CC">
        <w:t xml:space="preserve">ma </w:t>
      </w:r>
      <w:r w:rsidR="00E935C3" w:rsidRPr="00325789">
        <w:t xml:space="preserve">guardando </w:t>
      </w:r>
      <w:r w:rsidR="003A75CC">
        <w:t>gli ultimi</w:t>
      </w:r>
      <w:r w:rsidR="00E935C3" w:rsidRPr="00325789">
        <w:t xml:space="preserve"> dati, dobbiamo riconoscere che alcuni settori dell'economia </w:t>
      </w:r>
      <w:r w:rsidR="00F75D97">
        <w:t>hanno mostrato una forza sorprendente</w:t>
      </w:r>
      <w:r w:rsidR="009D4CAC">
        <w:t>, grazie</w:t>
      </w:r>
      <w:r w:rsidR="00F75D97">
        <w:t xml:space="preserve"> soprattutto</w:t>
      </w:r>
      <w:r w:rsidR="009D4CAC">
        <w:t xml:space="preserve"> al</w:t>
      </w:r>
      <w:r w:rsidR="00E935C3" w:rsidRPr="00325789">
        <w:t>l'impatt</w:t>
      </w:r>
      <w:r w:rsidR="00F75D97">
        <w:t>o</w:t>
      </w:r>
      <w:r w:rsidR="00E935C3" w:rsidRPr="00325789">
        <w:t xml:space="preserve"> de</w:t>
      </w:r>
      <w:r w:rsidR="00F75D97">
        <w:t>gli stimoli fiscali in risposta</w:t>
      </w:r>
      <w:r w:rsidR="00E935C3" w:rsidRPr="00325789">
        <w:t xml:space="preserve"> </w:t>
      </w:r>
      <w:r w:rsidR="009D4CAC">
        <w:t>a</w:t>
      </w:r>
      <w:r w:rsidR="00E935C3" w:rsidRPr="00325789">
        <w:t>l C</w:t>
      </w:r>
      <w:r w:rsidR="009D4CAC">
        <w:t>ovid</w:t>
      </w:r>
      <w:r w:rsidR="00E935C3" w:rsidRPr="00325789">
        <w:t xml:space="preserve"> </w:t>
      </w:r>
      <w:r w:rsidR="00F75D97">
        <w:t xml:space="preserve">di </w:t>
      </w:r>
      <w:r w:rsidR="00E935C3" w:rsidRPr="00325789">
        <w:t>un paio di anni fa.</w:t>
      </w:r>
      <w:r w:rsidR="009D4CAC">
        <w:t xml:space="preserve"> </w:t>
      </w:r>
      <w:r w:rsidR="00D37832">
        <w:t>Tuttavia, c</w:t>
      </w:r>
      <w:r w:rsidR="00EC46B1">
        <w:t>o</w:t>
      </w:r>
      <w:r w:rsidR="00E935C3" w:rsidRPr="00325789">
        <w:t xml:space="preserve">me </w:t>
      </w:r>
      <w:r w:rsidR="00EC46B1">
        <w:t>emerso da</w:t>
      </w:r>
      <w:r w:rsidR="00E935C3" w:rsidRPr="00325789">
        <w:t xml:space="preserve">gli ultimi dati sull'occupazione, </w:t>
      </w:r>
      <w:r w:rsidR="00D37832">
        <w:t>ci sono</w:t>
      </w:r>
      <w:r w:rsidR="00E935C3" w:rsidRPr="00325789">
        <w:t xml:space="preserve"> segnali </w:t>
      </w:r>
      <w:r w:rsidR="00D37832">
        <w:t xml:space="preserve">che </w:t>
      </w:r>
      <w:r w:rsidR="00E935C3" w:rsidRPr="00325789">
        <w:t>indicano</w:t>
      </w:r>
      <w:r w:rsidR="00E935C3" w:rsidRPr="00325789">
        <w:rPr>
          <w:b/>
          <w:bCs/>
        </w:rPr>
        <w:t xml:space="preserve"> molta più debolezza </w:t>
      </w:r>
      <w:r w:rsidR="002D10FE">
        <w:rPr>
          <w:b/>
          <w:bCs/>
        </w:rPr>
        <w:t>rispetto a</w:t>
      </w:r>
      <w:r w:rsidR="00E935C3" w:rsidRPr="00325789">
        <w:rPr>
          <w:b/>
          <w:bCs/>
        </w:rPr>
        <w:t xml:space="preserve"> quanto gli ottimisti</w:t>
      </w:r>
      <w:r w:rsidR="009D4CAC" w:rsidRPr="00325789">
        <w:rPr>
          <w:b/>
          <w:bCs/>
        </w:rPr>
        <w:t xml:space="preserve"> e i rialzisti</w:t>
      </w:r>
      <w:r w:rsidR="00E935C3" w:rsidRPr="00325789">
        <w:rPr>
          <w:b/>
          <w:bCs/>
        </w:rPr>
        <w:t xml:space="preserve"> vorrebbero </w:t>
      </w:r>
      <w:r w:rsidR="00813132">
        <w:rPr>
          <w:b/>
          <w:bCs/>
        </w:rPr>
        <w:t xml:space="preserve">forse </w:t>
      </w:r>
      <w:r w:rsidR="00E935C3" w:rsidRPr="00325789">
        <w:rPr>
          <w:b/>
          <w:bCs/>
        </w:rPr>
        <w:t>credere.</w:t>
      </w:r>
    </w:p>
    <w:p w14:paraId="317290FE" w14:textId="78562E38" w:rsidR="00E935C3" w:rsidRPr="00325789" w:rsidRDefault="005E0840" w:rsidP="0044606D">
      <w:r w:rsidRPr="00325789">
        <w:rPr>
          <w:u w:val="single"/>
        </w:rPr>
        <w:t xml:space="preserve">Economia, un bicchiere mezzo </w:t>
      </w:r>
      <w:r w:rsidRPr="00F75D97">
        <w:rPr>
          <w:u w:val="single"/>
        </w:rPr>
        <w:t>p</w:t>
      </w:r>
      <w:r w:rsidRPr="00325789">
        <w:rPr>
          <w:u w:val="single"/>
        </w:rPr>
        <w:t>ie</w:t>
      </w:r>
      <w:r w:rsidRPr="00F75D97">
        <w:rPr>
          <w:u w:val="single"/>
        </w:rPr>
        <w:t>no</w:t>
      </w:r>
      <w:r w:rsidR="00F75D97" w:rsidRPr="00325789">
        <w:rPr>
          <w:u w:val="single"/>
        </w:rPr>
        <w:t xml:space="preserve"> (o vuoto?</w:t>
      </w:r>
      <w:r w:rsidR="00F75D97">
        <w:rPr>
          <w:u w:val="single"/>
        </w:rPr>
        <w:t>)</w:t>
      </w:r>
      <w:r w:rsidR="00AF61F2" w:rsidRPr="00F75D97">
        <w:rPr>
          <w:u w:val="single"/>
        </w:rPr>
        <w:br/>
      </w:r>
      <w:r w:rsidR="009D4CAC">
        <w:t>R</w:t>
      </w:r>
      <w:r w:rsidR="00E935C3" w:rsidRPr="00325789">
        <w:t xml:space="preserve">ispetto al passato, a questo punto del ciclo, </w:t>
      </w:r>
      <w:r w:rsidR="00E935C3" w:rsidRPr="00325789">
        <w:rPr>
          <w:b/>
          <w:bCs/>
        </w:rPr>
        <w:t>i fondamentali sono rimasti relativamente stabili, anche se il numero d</w:t>
      </w:r>
      <w:r w:rsidR="009D4CAC" w:rsidRPr="00325789">
        <w:rPr>
          <w:b/>
          <w:bCs/>
        </w:rPr>
        <w:t>egli upgrade</w:t>
      </w:r>
      <w:r w:rsidR="004878A2" w:rsidRPr="00325789">
        <w:rPr>
          <w:b/>
          <w:bCs/>
        </w:rPr>
        <w:t xml:space="preserve"> ai rating</w:t>
      </w:r>
      <w:r w:rsidR="009D4CAC" w:rsidRPr="00325789">
        <w:rPr>
          <w:b/>
          <w:bCs/>
        </w:rPr>
        <w:t xml:space="preserve"> </w:t>
      </w:r>
      <w:r w:rsidR="00E935C3" w:rsidRPr="00325789">
        <w:rPr>
          <w:b/>
          <w:bCs/>
        </w:rPr>
        <w:t>è decisamente rallentato dopo la pandemia</w:t>
      </w:r>
      <w:r w:rsidR="00E935C3" w:rsidRPr="00325789">
        <w:t>.</w:t>
      </w:r>
      <w:r w:rsidR="009D4CAC">
        <w:t xml:space="preserve"> </w:t>
      </w:r>
      <w:r w:rsidR="00C615F0">
        <w:t>In particolare</w:t>
      </w:r>
      <w:r w:rsidR="00E220F4" w:rsidRPr="00E220F4">
        <w:t>, il rapporto tra upgrade e downgrade</w:t>
      </w:r>
      <w:r w:rsidR="00E220F4">
        <w:t>,</w:t>
      </w:r>
      <w:r w:rsidR="00E220F4" w:rsidRPr="00E220F4">
        <w:t xml:space="preserve"> secondo la metodologia di S</w:t>
      </w:r>
      <w:r w:rsidR="00E220F4">
        <w:t>&amp;</w:t>
      </w:r>
      <w:r w:rsidR="00E220F4" w:rsidRPr="00E220F4">
        <w:t>P</w:t>
      </w:r>
      <w:r w:rsidR="00E220F4">
        <w:t>,</w:t>
      </w:r>
      <w:r w:rsidR="00E220F4" w:rsidRPr="00E220F4">
        <w:t xml:space="preserve"> </w:t>
      </w:r>
      <w:r w:rsidR="00E220F4">
        <w:t xml:space="preserve">è </w:t>
      </w:r>
      <w:r w:rsidR="004878A2">
        <w:t xml:space="preserve">risultato </w:t>
      </w:r>
      <w:r w:rsidR="00E220F4">
        <w:t>inferiore</w:t>
      </w:r>
      <w:r w:rsidR="00EA1CC2">
        <w:t xml:space="preserve"> per la prima volta dai livelli del</w:t>
      </w:r>
      <w:r w:rsidR="004878A2">
        <w:t xml:space="preserve"> 2020</w:t>
      </w:r>
      <w:r w:rsidR="00E220F4" w:rsidRPr="00E220F4">
        <w:t>.</w:t>
      </w:r>
      <w:r w:rsidR="00B42D1C">
        <w:t xml:space="preserve"> </w:t>
      </w:r>
      <w:r w:rsidR="009D4CAC" w:rsidRPr="00325789">
        <w:rPr>
          <w:b/>
          <w:bCs/>
        </w:rPr>
        <w:t>U</w:t>
      </w:r>
      <w:r w:rsidR="00E935C3" w:rsidRPr="00325789">
        <w:rPr>
          <w:b/>
          <w:bCs/>
        </w:rPr>
        <w:t>n'</w:t>
      </w:r>
      <w:r w:rsidR="00074709">
        <w:rPr>
          <w:b/>
          <w:bCs/>
        </w:rPr>
        <w:t xml:space="preserve">altra </w:t>
      </w:r>
      <w:r w:rsidR="00E935C3" w:rsidRPr="00325789">
        <w:rPr>
          <w:b/>
          <w:bCs/>
        </w:rPr>
        <w:t>area di deterioramento è rappresentata</w:t>
      </w:r>
      <w:r w:rsidR="009D4CAC" w:rsidRPr="00325789">
        <w:rPr>
          <w:b/>
          <w:bCs/>
        </w:rPr>
        <w:t xml:space="preserve"> </w:t>
      </w:r>
      <w:r w:rsidR="00E935C3" w:rsidRPr="00325789">
        <w:rPr>
          <w:b/>
          <w:bCs/>
        </w:rPr>
        <w:t>dai rapporti di copertura degli interessi</w:t>
      </w:r>
      <w:r w:rsidR="009D4CAC" w:rsidRPr="00325789">
        <w:rPr>
          <w:b/>
          <w:bCs/>
        </w:rPr>
        <w:t xml:space="preserve"> </w:t>
      </w:r>
      <w:r w:rsidR="009D4CAC" w:rsidRPr="00037A62">
        <w:t xml:space="preserve">(una misura della capacità delle aziende di onorare i pagamenti del debito), </w:t>
      </w:r>
      <w:r w:rsidR="00EA1CC2" w:rsidRPr="00037A62">
        <w:t>scesi</w:t>
      </w:r>
      <w:r w:rsidR="00E935C3" w:rsidRPr="00037A62">
        <w:t xml:space="preserve"> da 13 a circa </w:t>
      </w:r>
      <w:r w:rsidR="009D4CAC" w:rsidRPr="00037A62">
        <w:t>10</w:t>
      </w:r>
      <w:r w:rsidR="00E935C3" w:rsidRPr="00325789">
        <w:t xml:space="preserve"> a causa dell'impatto dei tassi più elevati sui costi di finanziamento.</w:t>
      </w:r>
    </w:p>
    <w:p w14:paraId="7162E186" w14:textId="0A376F74" w:rsidR="0044606D" w:rsidRPr="00325789" w:rsidRDefault="00EA1CC2" w:rsidP="0044606D">
      <w:pPr>
        <w:rPr>
          <w:color w:val="FF0000"/>
        </w:rPr>
      </w:pPr>
      <w:r w:rsidRPr="00325789">
        <w:rPr>
          <w:b/>
          <w:bCs/>
        </w:rPr>
        <w:t>I fo</w:t>
      </w:r>
      <w:r>
        <w:rPr>
          <w:b/>
          <w:bCs/>
        </w:rPr>
        <w:t>ndamentali delle aziende dovrebbero beneficiare de</w:t>
      </w:r>
      <w:r w:rsidR="00E935C3" w:rsidRPr="00325789">
        <w:rPr>
          <w:b/>
          <w:bCs/>
        </w:rPr>
        <w:t xml:space="preserve">i tassi </w:t>
      </w:r>
      <w:r>
        <w:rPr>
          <w:b/>
          <w:bCs/>
        </w:rPr>
        <w:t>in discesa</w:t>
      </w:r>
      <w:r w:rsidRPr="00325789">
        <w:t>, se</w:t>
      </w:r>
      <w:r w:rsidR="00E935C3" w:rsidRPr="00325789">
        <w:t xml:space="preserve"> non accompagnati da una recessione.</w:t>
      </w:r>
      <w:r w:rsidR="009D4CAC">
        <w:t xml:space="preserve"> </w:t>
      </w:r>
      <w:r w:rsidR="00E935C3" w:rsidRPr="00325789">
        <w:t>Ma anche in questo caso</w:t>
      </w:r>
      <w:r w:rsidR="00E220F4">
        <w:t xml:space="preserve"> occorre cautela</w:t>
      </w:r>
      <w:r w:rsidR="00E935C3" w:rsidRPr="00325789">
        <w:t xml:space="preserve">, perché di solito i tassi più bassi implicano un </w:t>
      </w:r>
      <w:r w:rsidR="00EC46B1">
        <w:t>rallentamento</w:t>
      </w:r>
      <w:r w:rsidR="00E935C3" w:rsidRPr="00325789">
        <w:t xml:space="preserve"> dell'economia.</w:t>
      </w:r>
      <w:r w:rsidR="00E220F4">
        <w:t xml:space="preserve"> I</w:t>
      </w:r>
      <w:r w:rsidR="00E935C3" w:rsidRPr="00325789">
        <w:t>n questo momento il tasso dei Fed funds</w:t>
      </w:r>
      <w:r>
        <w:t xml:space="preserve"> è a un livello</w:t>
      </w:r>
      <w:r w:rsidR="00E220F4">
        <w:t xml:space="preserve"> </w:t>
      </w:r>
      <w:r>
        <w:t>pari a più del doppio di quello che l</w:t>
      </w:r>
      <w:r w:rsidR="00E935C3" w:rsidRPr="00325789">
        <w:t>a maggior parte degli economisti ritiene essere il tasso neutrale</w:t>
      </w:r>
      <w:r>
        <w:t>.</w:t>
      </w:r>
      <w:r w:rsidR="00E220F4">
        <w:t xml:space="preserve"> </w:t>
      </w:r>
      <w:r>
        <w:t xml:space="preserve">Il </w:t>
      </w:r>
      <w:r w:rsidR="00E935C3" w:rsidRPr="00325789">
        <w:t xml:space="preserve">tasso reale dei Fed funds, </w:t>
      </w:r>
      <w:r>
        <w:t xml:space="preserve">invece, </w:t>
      </w:r>
      <w:r w:rsidR="00E935C3" w:rsidRPr="00325789">
        <w:t>tenendo conto dell'inflazion</w:t>
      </w:r>
      <w:r w:rsidR="00E220F4">
        <w:t>e</w:t>
      </w:r>
      <w:r w:rsidR="00E935C3" w:rsidRPr="00325789">
        <w:t xml:space="preserve"> osservata e</w:t>
      </w:r>
      <w:r w:rsidR="00E220F4">
        <w:t>,</w:t>
      </w:r>
      <w:r w:rsidR="00E935C3" w:rsidRPr="00325789">
        <w:t xml:space="preserve"> in particolare</w:t>
      </w:r>
      <w:r w:rsidR="00E220F4">
        <w:t>,</w:t>
      </w:r>
      <w:r w:rsidR="00E935C3" w:rsidRPr="00325789">
        <w:t xml:space="preserve"> delle aspettative di inflazione, è</w:t>
      </w:r>
      <w:r w:rsidR="00E220F4">
        <w:t xml:space="preserve"> al</w:t>
      </w:r>
      <w:r w:rsidR="00E935C3" w:rsidRPr="00325789">
        <w:t xml:space="preserve"> 3%. </w:t>
      </w:r>
    </w:p>
    <w:p w14:paraId="27CAF89B" w14:textId="2901B619" w:rsidR="00977A9E" w:rsidRPr="00325789" w:rsidRDefault="00721BD1" w:rsidP="0044606D">
      <w:r>
        <w:t>I bilanci d</w:t>
      </w:r>
      <w:r w:rsidR="00EA1CC2">
        <w:t>elle imprese</w:t>
      </w:r>
      <w:r w:rsidR="00977A9E" w:rsidRPr="00325789">
        <w:t xml:space="preserve"> più deboli</w:t>
      </w:r>
      <w:r>
        <w:t xml:space="preserve"> o</w:t>
      </w:r>
      <w:r w:rsidR="00EA1CC2">
        <w:t xml:space="preserve"> di quelle comprese</w:t>
      </w:r>
      <w:r>
        <w:t xml:space="preserve"> nelle fasce </w:t>
      </w:r>
      <w:r w:rsidR="00977A9E" w:rsidRPr="00325789">
        <w:t>più basse del mercato high yield</w:t>
      </w:r>
      <w:r w:rsidR="00C24F12">
        <w:t xml:space="preserve"> </w:t>
      </w:r>
      <w:r>
        <w:t xml:space="preserve">spesso presentano </w:t>
      </w:r>
      <w:r w:rsidR="00EA1CC2">
        <w:t xml:space="preserve">non poche </w:t>
      </w:r>
      <w:r>
        <w:t>criticità</w:t>
      </w:r>
      <w:r w:rsidR="00977A9E" w:rsidRPr="00325789">
        <w:t xml:space="preserve">. </w:t>
      </w:r>
      <w:r w:rsidR="00977A9E" w:rsidRPr="00325789">
        <w:rPr>
          <w:b/>
          <w:bCs/>
        </w:rPr>
        <w:t xml:space="preserve">Negli ultimi dodici mesi, il tasso di insolvenza dei titoli </w:t>
      </w:r>
      <w:r w:rsidRPr="00325789">
        <w:rPr>
          <w:b/>
          <w:bCs/>
        </w:rPr>
        <w:t>high yield</w:t>
      </w:r>
      <w:r w:rsidR="00977A9E" w:rsidRPr="00325789">
        <w:rPr>
          <w:b/>
          <w:bCs/>
        </w:rPr>
        <w:t xml:space="preserve"> ha raggiunto il 4%</w:t>
      </w:r>
      <w:r w:rsidR="00EA1CC2" w:rsidRPr="00325789">
        <w:t>, mentre</w:t>
      </w:r>
      <w:r w:rsidR="00977A9E" w:rsidRPr="00325789">
        <w:t xml:space="preserve"> </w:t>
      </w:r>
      <w:r w:rsidR="00EC46B1">
        <w:t xml:space="preserve">il </w:t>
      </w:r>
      <w:r w:rsidR="00977A9E" w:rsidRPr="00325789">
        <w:t xml:space="preserve">mercato dei </w:t>
      </w:r>
      <w:r w:rsidR="000B50CE">
        <w:t>leverage loan</w:t>
      </w:r>
      <w:r w:rsidR="00977A9E" w:rsidRPr="00325789">
        <w:t xml:space="preserve"> </w:t>
      </w:r>
      <w:r w:rsidR="00B00865">
        <w:t xml:space="preserve">(i prestiti erogati a imprese già molto indebitate) </w:t>
      </w:r>
      <w:r w:rsidR="00977A9E" w:rsidRPr="00325789">
        <w:t xml:space="preserve">ha raggiunto il 6%. Non se ne parla nei titoli dei giornali, </w:t>
      </w:r>
      <w:r w:rsidR="000B50CE">
        <w:t>ma</w:t>
      </w:r>
      <w:r w:rsidR="00977A9E" w:rsidRPr="00325789">
        <w:t xml:space="preserve"> bisogn</w:t>
      </w:r>
      <w:r w:rsidR="00C24F12">
        <w:t>erebbe</w:t>
      </w:r>
      <w:r w:rsidR="00977A9E" w:rsidRPr="00325789">
        <w:t xml:space="preserve"> incorporare, </w:t>
      </w:r>
      <w:r w:rsidR="00C24F12">
        <w:t>e</w:t>
      </w:r>
      <w:r w:rsidR="00977A9E" w:rsidRPr="00325789">
        <w:t xml:space="preserve"> molti non amano parlar</w:t>
      </w:r>
      <w:r w:rsidR="000B50CE">
        <w:t>n</w:t>
      </w:r>
      <w:r w:rsidR="00977A9E" w:rsidRPr="00325789">
        <w:t xml:space="preserve">e, </w:t>
      </w:r>
      <w:r w:rsidR="000B50CE">
        <w:t>anche l</w:t>
      </w:r>
      <w:r w:rsidR="00977A9E" w:rsidRPr="00325789">
        <w:t xml:space="preserve">e ristrutturazioni. </w:t>
      </w:r>
      <w:r w:rsidR="000B50CE">
        <w:t>Per</w:t>
      </w:r>
      <w:r w:rsidR="00EA1CC2">
        <w:t>ché per</w:t>
      </w:r>
      <w:r w:rsidR="000B50CE">
        <w:t xml:space="preserve"> i creditori, parlare </w:t>
      </w:r>
      <w:r w:rsidR="00977A9E" w:rsidRPr="00325789">
        <w:t xml:space="preserve">di un default o di una ristrutturazione del debito, è </w:t>
      </w:r>
      <w:r w:rsidR="00EA1CC2">
        <w:t xml:space="preserve">in fondo </w:t>
      </w:r>
      <w:r w:rsidR="00977A9E" w:rsidRPr="00325789">
        <w:t>la stessa cosa.</w:t>
      </w:r>
    </w:p>
    <w:p w14:paraId="06628B0C" w14:textId="115A705D" w:rsidR="0044606D" w:rsidRPr="00325789" w:rsidRDefault="00977A9E" w:rsidP="0044606D">
      <w:pPr>
        <w:rPr>
          <w:color w:val="FF0000"/>
        </w:rPr>
      </w:pPr>
      <w:r w:rsidRPr="00325789">
        <w:rPr>
          <w:b/>
          <w:bCs/>
        </w:rPr>
        <w:t>I consumatori</w:t>
      </w:r>
      <w:r w:rsidR="00B90C6E">
        <w:rPr>
          <w:b/>
          <w:bCs/>
        </w:rPr>
        <w:t xml:space="preserve"> </w:t>
      </w:r>
      <w:r w:rsidRPr="00325789">
        <w:rPr>
          <w:b/>
          <w:bCs/>
        </w:rPr>
        <w:t>stanno ancora mostrando una certa forza</w:t>
      </w:r>
      <w:r w:rsidR="00C24F12" w:rsidRPr="00325789">
        <w:rPr>
          <w:b/>
          <w:bCs/>
        </w:rPr>
        <w:t xml:space="preserve">, che può essere in gran parte </w:t>
      </w:r>
      <w:r w:rsidRPr="00325789">
        <w:rPr>
          <w:b/>
          <w:bCs/>
        </w:rPr>
        <w:t>attribui</w:t>
      </w:r>
      <w:r w:rsidR="00B00865">
        <w:rPr>
          <w:b/>
          <w:bCs/>
        </w:rPr>
        <w:t>ta</w:t>
      </w:r>
      <w:r w:rsidRPr="00325789">
        <w:rPr>
          <w:b/>
          <w:bCs/>
        </w:rPr>
        <w:t xml:space="preserve"> a</w:t>
      </w:r>
      <w:r w:rsidR="00B00865">
        <w:rPr>
          <w:b/>
          <w:bCs/>
        </w:rPr>
        <w:t>lla performance positiva dei</w:t>
      </w:r>
      <w:r w:rsidRPr="00325789">
        <w:rPr>
          <w:b/>
          <w:bCs/>
        </w:rPr>
        <w:t xml:space="preserve"> mercati azionari. </w:t>
      </w:r>
      <w:r w:rsidR="00B00865">
        <w:rPr>
          <w:b/>
          <w:bCs/>
        </w:rPr>
        <w:t xml:space="preserve">Vale </w:t>
      </w:r>
      <w:r w:rsidRPr="00325789">
        <w:rPr>
          <w:b/>
          <w:bCs/>
        </w:rPr>
        <w:t>soprattutto nella fascia più alta</w:t>
      </w:r>
      <w:r w:rsidR="00B00865">
        <w:rPr>
          <w:b/>
          <w:bCs/>
        </w:rPr>
        <w:t xml:space="preserve"> dei consumatori</w:t>
      </w:r>
      <w:r w:rsidR="00B00865" w:rsidRPr="00325789">
        <w:t>, dove i</w:t>
      </w:r>
      <w:r w:rsidRPr="00325789">
        <w:t xml:space="preserve"> bilanci</w:t>
      </w:r>
      <w:r w:rsidR="00905BB9">
        <w:t xml:space="preserve"> familiari</w:t>
      </w:r>
      <w:r w:rsidRPr="00325789">
        <w:t xml:space="preserve"> sembrano</w:t>
      </w:r>
      <w:r w:rsidR="00905BB9">
        <w:t xml:space="preserve"> in buono stato,</w:t>
      </w:r>
      <w:r w:rsidRPr="00325789">
        <w:t xml:space="preserve"> quando i prezzi delle azioni sono ai massimi storici. </w:t>
      </w:r>
      <w:r w:rsidR="00B00865">
        <w:t>N</w:t>
      </w:r>
      <w:r w:rsidR="000030F5">
        <w:t>e</w:t>
      </w:r>
      <w:r w:rsidRPr="00325789">
        <w:t>l segmento dei consumatori</w:t>
      </w:r>
      <w:r w:rsidR="00C24F12">
        <w:t xml:space="preserve"> più basso</w:t>
      </w:r>
      <w:r w:rsidR="00B00865">
        <w:t>, invece,</w:t>
      </w:r>
      <w:r w:rsidR="00905BB9">
        <w:t xml:space="preserve"> </w:t>
      </w:r>
      <w:r w:rsidR="00C615F0">
        <w:t>si è registrata</w:t>
      </w:r>
      <w:r w:rsidR="00C24F12">
        <w:t xml:space="preserve"> una</w:t>
      </w:r>
      <w:r w:rsidRPr="00325789">
        <w:t xml:space="preserve"> forte impennata delle insolvenze sulle carte di credito</w:t>
      </w:r>
      <w:r w:rsidR="00C24F12">
        <w:t xml:space="preserve">, </w:t>
      </w:r>
      <w:r w:rsidR="00B00865">
        <w:t>sul</w:t>
      </w:r>
      <w:r w:rsidRPr="00325789">
        <w:t>le morosità nel settore auto</w:t>
      </w:r>
      <w:r w:rsidR="00C24F12">
        <w:t xml:space="preserve"> e</w:t>
      </w:r>
      <w:r w:rsidRPr="00325789">
        <w:t xml:space="preserve"> </w:t>
      </w:r>
      <w:r w:rsidR="00B00865">
        <w:t>su</w:t>
      </w:r>
      <w:r w:rsidRPr="00325789">
        <w:t xml:space="preserve">lle parti di minore qualità del mercato dei mutui. </w:t>
      </w:r>
    </w:p>
    <w:p w14:paraId="263E29BE" w14:textId="78AF7D1E" w:rsidR="00E935C3" w:rsidRPr="00325789" w:rsidRDefault="00C24F12" w:rsidP="0044606D">
      <w:r w:rsidRPr="00325789">
        <w:t>Su</w:t>
      </w:r>
      <w:r>
        <w:t>l</w:t>
      </w:r>
      <w:r w:rsidR="00E935C3" w:rsidRPr="00325789">
        <w:t xml:space="preserve"> mercato immobiliare commerciale </w:t>
      </w:r>
      <w:r w:rsidR="00B00865">
        <w:t>vediamo</w:t>
      </w:r>
      <w:r w:rsidR="00E935C3" w:rsidRPr="00325789">
        <w:t xml:space="preserve"> un certo stress che dura da anni</w:t>
      </w:r>
      <w:r w:rsidR="001855AC">
        <w:t>: non è stato</w:t>
      </w:r>
      <w:r>
        <w:t xml:space="preserve"> innescato </w:t>
      </w:r>
      <w:r w:rsidR="001855AC">
        <w:t>d</w:t>
      </w:r>
      <w:r w:rsidR="00E935C3" w:rsidRPr="00325789">
        <w:t xml:space="preserve">all'aumento dei tassi, ma </w:t>
      </w:r>
      <w:r>
        <w:t>dai cambiamenti al nostro stile di vit</w:t>
      </w:r>
      <w:r w:rsidR="00EC46B1">
        <w:t>a</w:t>
      </w:r>
      <w:r>
        <w:t xml:space="preserve"> iniziati </w:t>
      </w:r>
      <w:r w:rsidR="00E935C3" w:rsidRPr="00325789">
        <w:t>durante la pandemia.</w:t>
      </w:r>
      <w:r>
        <w:t xml:space="preserve"> L</w:t>
      </w:r>
      <w:r w:rsidR="00E935C3" w:rsidRPr="00325789">
        <w:t xml:space="preserve">'aumento dei tassi </w:t>
      </w:r>
      <w:r>
        <w:t xml:space="preserve">ha </w:t>
      </w:r>
      <w:r w:rsidR="00E935C3" w:rsidRPr="00325789">
        <w:t>amplifica</w:t>
      </w:r>
      <w:r>
        <w:t>to</w:t>
      </w:r>
      <w:r w:rsidR="00631C88">
        <w:t xml:space="preserve"> le difficoltà </w:t>
      </w:r>
      <w:r w:rsidR="00E935C3" w:rsidRPr="00325789">
        <w:t xml:space="preserve">in tutti i settori del mercato </w:t>
      </w:r>
      <w:r w:rsidR="00631C88">
        <w:t xml:space="preserve">e </w:t>
      </w:r>
      <w:r w:rsidR="00E935C3" w:rsidRPr="00325789">
        <w:t>ovviamente</w:t>
      </w:r>
      <w:r w:rsidR="00C65C0E">
        <w:t xml:space="preserve"> anche nel segmento </w:t>
      </w:r>
      <w:r w:rsidR="00EC46B1">
        <w:t xml:space="preserve">immobiliare </w:t>
      </w:r>
      <w:r w:rsidR="00E935C3" w:rsidRPr="00325789">
        <w:t>degli uffici.</w:t>
      </w:r>
      <w:r w:rsidR="00631C88">
        <w:t xml:space="preserve"> </w:t>
      </w:r>
      <w:r w:rsidR="00E75F5C">
        <w:t>Anche n</w:t>
      </w:r>
      <w:r w:rsidR="00E935C3" w:rsidRPr="00325789">
        <w:t xml:space="preserve">el retail stiamo iniziando a vedere </w:t>
      </w:r>
      <w:r w:rsidR="00631C88">
        <w:t>qualche segnale di debolezza su</w:t>
      </w:r>
      <w:r w:rsidR="00E935C3" w:rsidRPr="00325789">
        <w:t>l mercato multifamiliare.</w:t>
      </w:r>
      <w:r w:rsidR="001A0937">
        <w:t xml:space="preserve"> E questo comincia ad avere degli impatti su molte banche regionali.</w:t>
      </w:r>
    </w:p>
    <w:p w14:paraId="17A5E1C3" w14:textId="7F5FD30B" w:rsidR="00E935C3" w:rsidRPr="00325789" w:rsidRDefault="00E935C3" w:rsidP="0044606D">
      <w:r w:rsidRPr="00325789">
        <w:lastRenderedPageBreak/>
        <w:t xml:space="preserve">Ovviamente la disoccupazione è ancora piuttosto bassa. </w:t>
      </w:r>
      <w:r w:rsidRPr="00325789">
        <w:rPr>
          <w:b/>
          <w:bCs/>
        </w:rPr>
        <w:t>In superficie, il tasso di occupazione può sembrare forte</w:t>
      </w:r>
      <w:r w:rsidR="006272D3">
        <w:rPr>
          <w:b/>
          <w:bCs/>
        </w:rPr>
        <w:t>, ma</w:t>
      </w:r>
      <w:r w:rsidRPr="00325789">
        <w:rPr>
          <w:b/>
          <w:bCs/>
        </w:rPr>
        <w:t xml:space="preserve"> </w:t>
      </w:r>
      <w:r w:rsidR="00237D50">
        <w:rPr>
          <w:b/>
          <w:bCs/>
        </w:rPr>
        <w:t>guardando</w:t>
      </w:r>
      <w:r w:rsidRPr="00325789">
        <w:rPr>
          <w:b/>
          <w:bCs/>
        </w:rPr>
        <w:t xml:space="preserve"> </w:t>
      </w:r>
      <w:r w:rsidR="00F727BF" w:rsidRPr="00325789">
        <w:rPr>
          <w:b/>
          <w:bCs/>
        </w:rPr>
        <w:t>in profondità</w:t>
      </w:r>
      <w:r w:rsidRPr="00325789">
        <w:rPr>
          <w:b/>
          <w:bCs/>
        </w:rPr>
        <w:t>,</w:t>
      </w:r>
      <w:r w:rsidR="00592B48">
        <w:rPr>
          <w:b/>
          <w:bCs/>
        </w:rPr>
        <w:t xml:space="preserve"> </w:t>
      </w:r>
      <w:r w:rsidRPr="00325789">
        <w:rPr>
          <w:b/>
          <w:bCs/>
        </w:rPr>
        <w:t xml:space="preserve">praticamente tutto il resto mostra </w:t>
      </w:r>
      <w:r w:rsidR="00237D50">
        <w:rPr>
          <w:b/>
          <w:bCs/>
        </w:rPr>
        <w:t xml:space="preserve">segnali di </w:t>
      </w:r>
      <w:r w:rsidR="006272D3">
        <w:rPr>
          <w:b/>
          <w:bCs/>
        </w:rPr>
        <w:t>fragilità</w:t>
      </w:r>
      <w:r w:rsidRPr="00325789">
        <w:t>.</w:t>
      </w:r>
      <w:r w:rsidR="00F727BF">
        <w:t xml:space="preserve"> </w:t>
      </w:r>
      <w:r w:rsidRPr="00325789">
        <w:rPr>
          <w:b/>
          <w:bCs/>
        </w:rPr>
        <w:t>Nell'indagine sulle famiglie, non solo abbiamo assistito a una stagnazione dell'occupazione</w:t>
      </w:r>
      <w:r w:rsidRPr="00325789">
        <w:t xml:space="preserve">, ma anche a numerosi indicatori di debolezza, come il </w:t>
      </w:r>
      <w:r w:rsidRPr="00325789">
        <w:rPr>
          <w:b/>
          <w:bCs/>
        </w:rPr>
        <w:t>numero di dipendenti temporanei in calo</w:t>
      </w:r>
      <w:r w:rsidR="00F727BF" w:rsidRPr="00325789">
        <w:rPr>
          <w:b/>
          <w:bCs/>
        </w:rPr>
        <w:t xml:space="preserve"> </w:t>
      </w:r>
      <w:r w:rsidR="00F727BF" w:rsidRPr="00567AE8">
        <w:t>e</w:t>
      </w:r>
      <w:r w:rsidR="00F727BF" w:rsidRPr="00325789">
        <w:rPr>
          <w:b/>
          <w:bCs/>
        </w:rPr>
        <w:t xml:space="preserve"> i salari in diminuzione</w:t>
      </w:r>
      <w:r w:rsidR="00F727BF">
        <w:t>.</w:t>
      </w:r>
    </w:p>
    <w:p w14:paraId="618A25C6" w14:textId="3D39D1DB" w:rsidR="00AF61F2" w:rsidRPr="00325789" w:rsidRDefault="00297C77" w:rsidP="0044606D">
      <w:r w:rsidRPr="00325789">
        <w:rPr>
          <w:u w:val="single"/>
        </w:rPr>
        <w:t>Le opportunità sul mercato</w:t>
      </w:r>
      <w:r w:rsidR="00AF61F2" w:rsidRPr="00325789">
        <w:br/>
      </w:r>
      <w:r w:rsidR="00E935C3" w:rsidRPr="00325789">
        <w:t xml:space="preserve">Se l'economia è in potenziale rallentamento, dove </w:t>
      </w:r>
      <w:r w:rsidR="00F727BF">
        <w:t xml:space="preserve">trovare valore sul mercato del credito? </w:t>
      </w:r>
      <w:r w:rsidR="00E935C3" w:rsidRPr="00325789">
        <w:t>Quando gli spread sono molto stretti</w:t>
      </w:r>
      <w:r w:rsidR="00F727BF">
        <w:t>,</w:t>
      </w:r>
      <w:r w:rsidR="00E935C3" w:rsidRPr="00325789">
        <w:t xml:space="preserve"> </w:t>
      </w:r>
      <w:r w:rsidR="00F727BF">
        <w:t>i</w:t>
      </w:r>
      <w:r w:rsidR="00E935C3" w:rsidRPr="00325789">
        <w:t xml:space="preserve"> rendimenti </w:t>
      </w:r>
      <w:r w:rsidR="00592B48">
        <w:t>diventano</w:t>
      </w:r>
      <w:r w:rsidR="00E935C3" w:rsidRPr="00325789">
        <w:t xml:space="preserve"> interessanti. Questo, a nostro avviso, depone </w:t>
      </w:r>
      <w:r w:rsidR="00E935C3" w:rsidRPr="00325789">
        <w:rPr>
          <w:b/>
          <w:bCs/>
        </w:rPr>
        <w:t>a favore d</w:t>
      </w:r>
      <w:r w:rsidR="00592B48">
        <w:rPr>
          <w:b/>
          <w:bCs/>
        </w:rPr>
        <w:t>elle</w:t>
      </w:r>
      <w:r w:rsidR="00E935C3" w:rsidRPr="00325789">
        <w:rPr>
          <w:b/>
          <w:bCs/>
        </w:rPr>
        <w:t xml:space="preserve"> strategi</w:t>
      </w:r>
      <w:r w:rsidR="00592B48">
        <w:rPr>
          <w:b/>
          <w:bCs/>
        </w:rPr>
        <w:t>e</w:t>
      </w:r>
      <w:r w:rsidR="00E935C3" w:rsidRPr="00325789">
        <w:rPr>
          <w:b/>
          <w:bCs/>
        </w:rPr>
        <w:t xml:space="preserve"> di </w:t>
      </w:r>
      <w:r w:rsidR="005F708F" w:rsidRPr="00325789">
        <w:rPr>
          <w:b/>
          <w:bCs/>
        </w:rPr>
        <w:t>ricerca di</w:t>
      </w:r>
      <w:r w:rsidR="00E935C3" w:rsidRPr="00325789">
        <w:rPr>
          <w:b/>
          <w:bCs/>
        </w:rPr>
        <w:t xml:space="preserve"> rendiment</w:t>
      </w:r>
      <w:r w:rsidR="005F708F" w:rsidRPr="00325789">
        <w:rPr>
          <w:b/>
          <w:bCs/>
        </w:rPr>
        <w:t>o</w:t>
      </w:r>
      <w:r w:rsidR="00E935C3" w:rsidRPr="00325789">
        <w:t>.</w:t>
      </w:r>
      <w:r w:rsidR="00F727BF">
        <w:t xml:space="preserve"> </w:t>
      </w:r>
      <w:r w:rsidR="00592B48">
        <w:t>Oggi si possono</w:t>
      </w:r>
      <w:r w:rsidR="00E935C3" w:rsidRPr="00325789">
        <w:t xml:space="preserve"> acquistare titoli societari a due o tre anni con un rendimento superiore al 5%, che è quasi lo stesso rendimento dei titoli societari a 30 ann</w:t>
      </w:r>
      <w:r w:rsidR="005F708F">
        <w:t>i, perché l</w:t>
      </w:r>
      <w:r w:rsidR="00E935C3" w:rsidRPr="00325789">
        <w:t>e curve son</w:t>
      </w:r>
      <w:r w:rsidR="005F708F">
        <w:t>o</w:t>
      </w:r>
      <w:r w:rsidR="00E935C3" w:rsidRPr="00325789">
        <w:t xml:space="preserve"> molto piatte. I mercati offrono un discreto </w:t>
      </w:r>
      <w:r w:rsidR="00FB4AEF">
        <w:t>flusso cedolare</w:t>
      </w:r>
      <w:r w:rsidR="00E935C3" w:rsidRPr="00325789">
        <w:t xml:space="preserve"> e per tutti questi motivi</w:t>
      </w:r>
      <w:r w:rsidR="00F727BF">
        <w:t xml:space="preserve"> conviene</w:t>
      </w:r>
      <w:r w:rsidR="00E935C3" w:rsidRPr="00325789">
        <w:t xml:space="preserve"> stare nella parte anteriore della curva. Al di fuori delle obbligazioni societarie, vediamo molto valore </w:t>
      </w:r>
      <w:r w:rsidR="00930E17">
        <w:t xml:space="preserve">anche </w:t>
      </w:r>
      <w:r w:rsidR="00E935C3" w:rsidRPr="00325789">
        <w:t xml:space="preserve">nel mercato </w:t>
      </w:r>
      <w:r w:rsidR="002D10FE">
        <w:t>delle</w:t>
      </w:r>
      <w:r w:rsidR="00E935C3" w:rsidRPr="00325789">
        <w:t xml:space="preserve"> ABS che vengono scambiat</w:t>
      </w:r>
      <w:r w:rsidR="002D10FE">
        <w:t>e</w:t>
      </w:r>
      <w:r w:rsidR="00E935C3" w:rsidRPr="00325789">
        <w:t xml:space="preserve"> a spread.</w:t>
      </w:r>
    </w:p>
    <w:p w14:paraId="62A3396D" w14:textId="20C0F9F0" w:rsidR="0044606D" w:rsidRPr="00325789" w:rsidRDefault="00E935C3" w:rsidP="0044606D">
      <w:r w:rsidRPr="00325789">
        <w:t>Nonostante la cautela sull'</w:t>
      </w:r>
      <w:r w:rsidR="00F727BF">
        <w:t>andamento dell’</w:t>
      </w:r>
      <w:r w:rsidRPr="00325789">
        <w:t xml:space="preserve">economia, vogliamo </w:t>
      </w:r>
      <w:r w:rsidR="00F727BF" w:rsidRPr="00325789">
        <w:rPr>
          <w:b/>
          <w:bCs/>
        </w:rPr>
        <w:t>aumentare l’esposizione de</w:t>
      </w:r>
      <w:r w:rsidRPr="00325789">
        <w:rPr>
          <w:b/>
          <w:bCs/>
        </w:rPr>
        <w:t xml:space="preserve">i nostri portafogli </w:t>
      </w:r>
      <w:r w:rsidR="00F727BF" w:rsidRPr="00325789">
        <w:rPr>
          <w:b/>
          <w:bCs/>
        </w:rPr>
        <w:t>alle</w:t>
      </w:r>
      <w:r w:rsidRPr="00325789">
        <w:rPr>
          <w:b/>
          <w:bCs/>
        </w:rPr>
        <w:t xml:space="preserve"> obbligazioni societarie sottopesate</w:t>
      </w:r>
      <w:r w:rsidR="00F727BF" w:rsidRPr="00325789">
        <w:rPr>
          <w:b/>
          <w:bCs/>
        </w:rPr>
        <w:t xml:space="preserve"> in passato</w:t>
      </w:r>
      <w:r w:rsidRPr="00325789">
        <w:t xml:space="preserve">. L'unica cosa su cui siamo più </w:t>
      </w:r>
      <w:r w:rsidR="00930E17">
        <w:t>sicuri</w:t>
      </w:r>
      <w:r w:rsidRPr="00325789">
        <w:t xml:space="preserve"> rispetto al semplice rallentamento dell'economia è che il percorso nei prossimi dodici o diciotto mesi non sarà privo di volatilità. In questo momento, le aspettative di base </w:t>
      </w:r>
      <w:r w:rsidR="00237D50">
        <w:t xml:space="preserve">prevedono </w:t>
      </w:r>
      <w:r w:rsidRPr="00325789">
        <w:t xml:space="preserve">un atterraggio </w:t>
      </w:r>
      <w:r w:rsidR="00930E17">
        <w:t>morbido</w:t>
      </w:r>
      <w:r w:rsidRPr="00325789">
        <w:t xml:space="preserve">, </w:t>
      </w:r>
      <w:r w:rsidR="00930E17">
        <w:t xml:space="preserve">con </w:t>
      </w:r>
      <w:r w:rsidRPr="00325789">
        <w:t>l'inflazione</w:t>
      </w:r>
      <w:r w:rsidR="00930E17">
        <w:t xml:space="preserve"> che</w:t>
      </w:r>
      <w:r w:rsidRPr="00325789">
        <w:t xml:space="preserve"> continua a scendere e l'economia </w:t>
      </w:r>
      <w:r w:rsidR="00F727BF">
        <w:t xml:space="preserve">che </w:t>
      </w:r>
      <w:r w:rsidRPr="00325789">
        <w:t xml:space="preserve">continua a </w:t>
      </w:r>
      <w:r w:rsidR="00930E17">
        <w:t>tenere</w:t>
      </w:r>
      <w:r w:rsidRPr="00325789">
        <w:t xml:space="preserve">. </w:t>
      </w:r>
      <w:r w:rsidR="00F727BF">
        <w:t>Ma</w:t>
      </w:r>
      <w:r w:rsidRPr="00325789">
        <w:t xml:space="preserve"> pensiamo che sia</w:t>
      </w:r>
      <w:r w:rsidR="00930E17">
        <w:t xml:space="preserve"> uno scenario</w:t>
      </w:r>
      <w:r w:rsidRPr="00325789">
        <w:t xml:space="preserve"> improbabile</w:t>
      </w:r>
      <w:r w:rsidR="00930E17">
        <w:t>.</w:t>
      </w:r>
      <w:r w:rsidRPr="00325789">
        <w:t xml:space="preserve"> </w:t>
      </w:r>
      <w:r w:rsidR="00930E17">
        <w:t>A</w:t>
      </w:r>
      <w:r w:rsidRPr="00325789">
        <w:t>ncora più</w:t>
      </w:r>
      <w:r w:rsidR="00F727BF">
        <w:t xml:space="preserve"> inverosimile</w:t>
      </w:r>
      <w:r w:rsidRPr="00325789">
        <w:t xml:space="preserve"> è che </w:t>
      </w:r>
      <w:r w:rsidR="00930E17">
        <w:t>questo andamento</w:t>
      </w:r>
      <w:r w:rsidRPr="00325789">
        <w:t xml:space="preserve"> </w:t>
      </w:r>
      <w:r w:rsidR="00592B48">
        <w:t>sia privo di sbalzi</w:t>
      </w:r>
      <w:r w:rsidRPr="00325789">
        <w:t>.</w:t>
      </w:r>
    </w:p>
    <w:p w14:paraId="4C0D33AA" w14:textId="47860FD7" w:rsidR="00EC2BE0" w:rsidRPr="00EC46B1" w:rsidRDefault="00EC2BE0" w:rsidP="0044606D"/>
    <w:sectPr w:rsidR="00EC2BE0" w:rsidRPr="00EC4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6D"/>
    <w:rsid w:val="000030F5"/>
    <w:rsid w:val="00037A62"/>
    <w:rsid w:val="00074709"/>
    <w:rsid w:val="000806CE"/>
    <w:rsid w:val="000B50CE"/>
    <w:rsid w:val="00133349"/>
    <w:rsid w:val="001855AC"/>
    <w:rsid w:val="001A0937"/>
    <w:rsid w:val="00237D50"/>
    <w:rsid w:val="002814F5"/>
    <w:rsid w:val="00297C77"/>
    <w:rsid w:val="002D10FE"/>
    <w:rsid w:val="00325789"/>
    <w:rsid w:val="003A75CC"/>
    <w:rsid w:val="0044606D"/>
    <w:rsid w:val="004878A2"/>
    <w:rsid w:val="00567708"/>
    <w:rsid w:val="00567AE8"/>
    <w:rsid w:val="00592B48"/>
    <w:rsid w:val="005E0840"/>
    <w:rsid w:val="005F708F"/>
    <w:rsid w:val="006272D3"/>
    <w:rsid w:val="00631C88"/>
    <w:rsid w:val="006672CA"/>
    <w:rsid w:val="00721BD1"/>
    <w:rsid w:val="00730B9A"/>
    <w:rsid w:val="00753135"/>
    <w:rsid w:val="00813132"/>
    <w:rsid w:val="008215B9"/>
    <w:rsid w:val="00863886"/>
    <w:rsid w:val="008A5E18"/>
    <w:rsid w:val="00905BB9"/>
    <w:rsid w:val="009176B8"/>
    <w:rsid w:val="00924E0E"/>
    <w:rsid w:val="00930E17"/>
    <w:rsid w:val="00977A9E"/>
    <w:rsid w:val="009D4CAC"/>
    <w:rsid w:val="00A107D3"/>
    <w:rsid w:val="00A4604F"/>
    <w:rsid w:val="00AF61F2"/>
    <w:rsid w:val="00B00865"/>
    <w:rsid w:val="00B01E5B"/>
    <w:rsid w:val="00B42D1C"/>
    <w:rsid w:val="00B632F8"/>
    <w:rsid w:val="00B90C6E"/>
    <w:rsid w:val="00C24F12"/>
    <w:rsid w:val="00C615F0"/>
    <w:rsid w:val="00C65C0E"/>
    <w:rsid w:val="00CA5588"/>
    <w:rsid w:val="00D37832"/>
    <w:rsid w:val="00E20405"/>
    <w:rsid w:val="00E220F4"/>
    <w:rsid w:val="00E75F5C"/>
    <w:rsid w:val="00E935C3"/>
    <w:rsid w:val="00EA1CC2"/>
    <w:rsid w:val="00EC2BE0"/>
    <w:rsid w:val="00EC46B1"/>
    <w:rsid w:val="00F41F00"/>
    <w:rsid w:val="00F727BF"/>
    <w:rsid w:val="00F752A5"/>
    <w:rsid w:val="00F75D97"/>
    <w:rsid w:val="00FB4AEF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B69A"/>
  <w15:chartTrackingRefBased/>
  <w15:docId w15:val="{DFEB2B3A-A1D5-4C72-8B6D-2F940D10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60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60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606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606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606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606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606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606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606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60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60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606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606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606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606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606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606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606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60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6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606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606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60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606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4606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4606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60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606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4606D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297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292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single" w:sz="6" w:space="12" w:color="E3E8EF"/>
            <w:right w:val="none" w:sz="0" w:space="12" w:color="auto"/>
          </w:divBdr>
          <w:divsChild>
            <w:div w:id="519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18</cp:revision>
  <dcterms:created xsi:type="dcterms:W3CDTF">2024-03-28T10:23:00Z</dcterms:created>
  <dcterms:modified xsi:type="dcterms:W3CDTF">2024-04-18T15:04:00Z</dcterms:modified>
</cp:coreProperties>
</file>