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651A" w14:textId="61CF1B62" w:rsidR="0041252F" w:rsidRPr="00F368A4" w:rsidRDefault="0041252F" w:rsidP="0041252F">
      <w:p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F368A4">
        <w:rPr>
          <w:rFonts w:ascii="Calibri" w:hAnsi="Calibri" w:cs="Calibri"/>
          <w:b/>
          <w:bCs/>
        </w:rPr>
        <w:t xml:space="preserve">AcomeA – </w:t>
      </w:r>
      <w:r w:rsidR="000D7699">
        <w:rPr>
          <w:rFonts w:ascii="Calibri" w:hAnsi="Calibri" w:cs="Calibri"/>
          <w:b/>
          <w:bCs/>
        </w:rPr>
        <w:t>USA vs Cina</w:t>
      </w:r>
      <w:r w:rsidR="00DB4DE2">
        <w:rPr>
          <w:rFonts w:ascii="Calibri" w:hAnsi="Calibri" w:cs="Calibri"/>
          <w:b/>
          <w:bCs/>
        </w:rPr>
        <w:t xml:space="preserve"> fra</w:t>
      </w:r>
      <w:r w:rsidR="000D7699">
        <w:rPr>
          <w:rFonts w:ascii="Calibri" w:hAnsi="Calibri" w:cs="Calibri"/>
          <w:b/>
          <w:bCs/>
        </w:rPr>
        <w:t xml:space="preserve"> </w:t>
      </w:r>
      <w:r w:rsidR="00DB4DE2">
        <w:rPr>
          <w:rFonts w:ascii="Calibri" w:hAnsi="Calibri" w:cs="Calibri"/>
          <w:b/>
          <w:bCs/>
        </w:rPr>
        <w:t>elezioni e</w:t>
      </w:r>
      <w:r w:rsidR="000D7699">
        <w:rPr>
          <w:rFonts w:ascii="Calibri" w:hAnsi="Calibri" w:cs="Calibri"/>
          <w:b/>
          <w:bCs/>
        </w:rPr>
        <w:t xml:space="preserve"> guerra commerciale</w:t>
      </w:r>
    </w:p>
    <w:p w14:paraId="79897082" w14:textId="77777777" w:rsidR="0041252F" w:rsidRDefault="0041252F" w:rsidP="0041252F">
      <w:pPr>
        <w:spacing w:after="0" w:line="240" w:lineRule="auto"/>
        <w:contextualSpacing/>
        <w:rPr>
          <w:rFonts w:ascii="Calibri" w:hAnsi="Calibri" w:cs="Calibri"/>
        </w:rPr>
      </w:pPr>
    </w:p>
    <w:p w14:paraId="28AE11CE" w14:textId="77777777" w:rsidR="0041252F" w:rsidRDefault="0041252F" w:rsidP="0041252F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 cura di </w:t>
      </w:r>
      <w:r w:rsidRPr="00F368A4">
        <w:rPr>
          <w:rFonts w:ascii="Calibri" w:hAnsi="Calibri" w:cs="Calibri"/>
          <w:b/>
          <w:bCs/>
        </w:rPr>
        <w:t>Simone Obrizzo, Portfolio Manager, AcomeA SGR</w:t>
      </w:r>
    </w:p>
    <w:p w14:paraId="732FC4D8" w14:textId="77777777" w:rsidR="00F368A4" w:rsidRDefault="00F368A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7610ED83" w14:textId="4786882E" w:rsidR="003130D4" w:rsidRDefault="008A2956" w:rsidP="00F368A4">
      <w:pPr>
        <w:spacing w:after="0" w:line="240" w:lineRule="auto"/>
        <w:contextualSpacing/>
        <w:rPr>
          <w:rFonts w:ascii="Calibri" w:hAnsi="Calibri" w:cs="Calibri"/>
        </w:rPr>
      </w:pPr>
      <w:r w:rsidRPr="00F368A4">
        <w:rPr>
          <w:rFonts w:ascii="Calibri" w:hAnsi="Calibri" w:cs="Calibri"/>
        </w:rPr>
        <w:t xml:space="preserve">Negli anni </w:t>
      </w:r>
      <w:r w:rsidR="00570801" w:rsidRPr="00F368A4">
        <w:rPr>
          <w:rFonts w:ascii="Calibri" w:hAnsi="Calibri" w:cs="Calibri"/>
        </w:rPr>
        <w:t>’</w:t>
      </w:r>
      <w:r w:rsidRPr="00F368A4">
        <w:rPr>
          <w:rFonts w:ascii="Calibri" w:hAnsi="Calibri" w:cs="Calibri"/>
        </w:rPr>
        <w:t xml:space="preserve">30 le barriere commerciali hanno inasprito la crisi globale </w:t>
      </w:r>
      <w:r w:rsidR="00F368A4">
        <w:rPr>
          <w:rFonts w:ascii="Calibri" w:hAnsi="Calibri" w:cs="Calibri"/>
        </w:rPr>
        <w:t>che serpeggiava in</w:t>
      </w:r>
      <w:r w:rsidR="00F368A4" w:rsidRPr="00F368A4">
        <w:rPr>
          <w:rFonts w:ascii="Calibri" w:hAnsi="Calibri" w:cs="Calibri"/>
        </w:rPr>
        <w:t xml:space="preserve"> </w:t>
      </w:r>
      <w:r w:rsidRPr="00F368A4">
        <w:rPr>
          <w:rFonts w:ascii="Calibri" w:hAnsi="Calibri" w:cs="Calibri"/>
        </w:rPr>
        <w:t>quegli anni</w:t>
      </w:r>
      <w:r w:rsidR="00570801" w:rsidRPr="00F368A4">
        <w:rPr>
          <w:rFonts w:ascii="Calibri" w:hAnsi="Calibri" w:cs="Calibri"/>
        </w:rPr>
        <w:t>. C</w:t>
      </w:r>
      <w:r w:rsidRPr="00F368A4">
        <w:rPr>
          <w:rFonts w:ascii="Calibri" w:hAnsi="Calibri" w:cs="Calibri"/>
        </w:rPr>
        <w:t>osì</w:t>
      </w:r>
      <w:r w:rsidR="00570801" w:rsidRPr="00F368A4">
        <w:rPr>
          <w:rFonts w:ascii="Calibri" w:hAnsi="Calibri" w:cs="Calibri"/>
        </w:rPr>
        <w:t>,</w:t>
      </w:r>
      <w:r w:rsidRPr="00F368A4">
        <w:rPr>
          <w:rFonts w:ascii="Calibri" w:hAnsi="Calibri" w:cs="Calibri"/>
        </w:rPr>
        <w:t xml:space="preserve"> nel 1947</w:t>
      </w:r>
      <w:r w:rsidR="00570801" w:rsidRPr="00F368A4">
        <w:rPr>
          <w:rFonts w:ascii="Calibri" w:hAnsi="Calibri" w:cs="Calibri"/>
        </w:rPr>
        <w:t>, venne firmato il GATT (</w:t>
      </w:r>
      <w:r w:rsidR="00570801" w:rsidRPr="00A530CF">
        <w:rPr>
          <w:rFonts w:ascii="Calibri" w:hAnsi="Calibri" w:cs="Calibri"/>
          <w:i/>
          <w:iCs/>
        </w:rPr>
        <w:t xml:space="preserve">General Agreement on </w:t>
      </w:r>
      <w:proofErr w:type="spellStart"/>
      <w:r w:rsidR="00570801" w:rsidRPr="00A530CF">
        <w:rPr>
          <w:rFonts w:ascii="Calibri" w:hAnsi="Calibri" w:cs="Calibri"/>
          <w:i/>
          <w:iCs/>
        </w:rPr>
        <w:t>Tariffs</w:t>
      </w:r>
      <w:proofErr w:type="spellEnd"/>
      <w:r w:rsidR="00570801" w:rsidRPr="00F368A4">
        <w:rPr>
          <w:rFonts w:ascii="Calibri" w:hAnsi="Calibri" w:cs="Calibri"/>
        </w:rPr>
        <w:t xml:space="preserve">), </w:t>
      </w:r>
      <w:r w:rsidRPr="00F368A4">
        <w:rPr>
          <w:rFonts w:ascii="Calibri" w:hAnsi="Calibri" w:cs="Calibri"/>
        </w:rPr>
        <w:t>un accordo multilaterale</w:t>
      </w:r>
      <w:r w:rsidR="00570801" w:rsidRPr="00F368A4">
        <w:rPr>
          <w:rFonts w:ascii="Calibri" w:hAnsi="Calibri" w:cs="Calibri"/>
        </w:rPr>
        <w:t xml:space="preserve"> tra</w:t>
      </w:r>
      <w:r w:rsidRPr="00F368A4">
        <w:rPr>
          <w:rFonts w:ascii="Calibri" w:hAnsi="Calibri" w:cs="Calibri"/>
        </w:rPr>
        <w:t xml:space="preserve"> 23 </w:t>
      </w:r>
      <w:r w:rsidR="00983261" w:rsidRPr="00F368A4">
        <w:rPr>
          <w:rFonts w:ascii="Calibri" w:hAnsi="Calibri" w:cs="Calibri"/>
        </w:rPr>
        <w:t>P</w:t>
      </w:r>
      <w:r w:rsidRPr="00F368A4">
        <w:rPr>
          <w:rFonts w:ascii="Calibri" w:hAnsi="Calibri" w:cs="Calibri"/>
        </w:rPr>
        <w:t xml:space="preserve">aesi per la liberalizzazione del commercio mondiale. </w:t>
      </w:r>
      <w:r w:rsidR="0041252F">
        <w:rPr>
          <w:rFonts w:ascii="Calibri" w:hAnsi="Calibri" w:cs="Calibri"/>
        </w:rPr>
        <w:t>Da allora, si s</w:t>
      </w:r>
      <w:r w:rsidRPr="00F368A4">
        <w:rPr>
          <w:rFonts w:ascii="Calibri" w:hAnsi="Calibri" w:cs="Calibri"/>
        </w:rPr>
        <w:t>ono susseguiti numerosi accordi</w:t>
      </w:r>
      <w:r w:rsidR="0041252F">
        <w:rPr>
          <w:rFonts w:ascii="Calibri" w:hAnsi="Calibri" w:cs="Calibri"/>
        </w:rPr>
        <w:t>,</w:t>
      </w:r>
      <w:r w:rsidRPr="00F368A4">
        <w:rPr>
          <w:rFonts w:ascii="Calibri" w:hAnsi="Calibri" w:cs="Calibri"/>
        </w:rPr>
        <w:t xml:space="preserve"> fino alla creazione nel 1995 del WTO (World Trade Organization).</w:t>
      </w:r>
      <w:r w:rsidR="002D54EB" w:rsidRPr="00F368A4">
        <w:rPr>
          <w:rFonts w:ascii="Calibri" w:hAnsi="Calibri" w:cs="Calibri"/>
        </w:rPr>
        <w:t xml:space="preserve"> </w:t>
      </w:r>
    </w:p>
    <w:p w14:paraId="0C38769C" w14:textId="77777777" w:rsidR="003130D4" w:rsidRDefault="003130D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7A47E5F9" w14:textId="0F2328A7" w:rsidR="00A65828" w:rsidRDefault="003130D4" w:rsidP="00F368A4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l’introduzione di queste misure, </w:t>
      </w:r>
      <w:r w:rsidRPr="00A530CF">
        <w:rPr>
          <w:rFonts w:ascii="Calibri" w:hAnsi="Calibri" w:cs="Calibri"/>
          <w:b/>
          <w:bCs/>
        </w:rPr>
        <w:t>i</w:t>
      </w:r>
      <w:r w:rsidR="002D54EB" w:rsidRPr="00A530CF">
        <w:rPr>
          <w:rFonts w:ascii="Calibri" w:hAnsi="Calibri" w:cs="Calibri"/>
          <w:b/>
          <w:bCs/>
        </w:rPr>
        <w:t xml:space="preserve">l livello medio delle tariffe globali </w:t>
      </w:r>
      <w:r w:rsidR="00001250" w:rsidRPr="00A530CF">
        <w:rPr>
          <w:rFonts w:ascii="Calibri" w:hAnsi="Calibri" w:cs="Calibri"/>
          <w:b/>
          <w:bCs/>
        </w:rPr>
        <w:t>n</w:t>
      </w:r>
      <w:r w:rsidR="002D54EB" w:rsidRPr="00A530CF">
        <w:rPr>
          <w:rFonts w:ascii="Calibri" w:hAnsi="Calibri" w:cs="Calibri"/>
          <w:b/>
          <w:bCs/>
        </w:rPr>
        <w:t>egli accordi commerciali multilaterali è passato dal 20% all’inizio del GATT a meno del 5% odierno.</w:t>
      </w:r>
      <w:r w:rsidR="00A65828" w:rsidRPr="00F368A4">
        <w:rPr>
          <w:rFonts w:ascii="Calibri" w:hAnsi="Calibri" w:cs="Calibri"/>
        </w:rPr>
        <w:t xml:space="preserve"> Questo ha contribuito all’aumento degli scambi globali</w:t>
      </w:r>
      <w:r w:rsidR="00001250" w:rsidRPr="00F368A4">
        <w:rPr>
          <w:rFonts w:ascii="Calibri" w:hAnsi="Calibri" w:cs="Calibri"/>
        </w:rPr>
        <w:t xml:space="preserve">, </w:t>
      </w:r>
      <w:r w:rsidR="00A65828" w:rsidRPr="00F368A4">
        <w:rPr>
          <w:rFonts w:ascii="Calibri" w:hAnsi="Calibri" w:cs="Calibri"/>
        </w:rPr>
        <w:t>anche nel più recente p</w:t>
      </w:r>
      <w:r w:rsidR="00001250" w:rsidRPr="00F368A4">
        <w:rPr>
          <w:rFonts w:ascii="Calibri" w:hAnsi="Calibri" w:cs="Calibri"/>
        </w:rPr>
        <w:t>eriodo</w:t>
      </w:r>
      <w:r w:rsidR="00A65828" w:rsidRPr="00F368A4">
        <w:rPr>
          <w:rFonts w:ascii="Calibri" w:hAnsi="Calibri" w:cs="Calibri"/>
        </w:rPr>
        <w:t xml:space="preserve"> post Covid (fig.1).</w:t>
      </w:r>
    </w:p>
    <w:p w14:paraId="0ABAA20B" w14:textId="77777777" w:rsidR="00F368A4" w:rsidRPr="00F368A4" w:rsidRDefault="00F368A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0E65AB18" w14:textId="73F31DAA" w:rsidR="00CE20AA" w:rsidRPr="00F368A4" w:rsidRDefault="00A65828" w:rsidP="00F368A4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F368A4">
        <w:rPr>
          <w:rFonts w:ascii="Calibri" w:hAnsi="Calibri" w:cs="Calibri"/>
          <w:noProof/>
        </w:rPr>
        <w:drawing>
          <wp:inline distT="0" distB="0" distL="0" distR="0" wp14:anchorId="061E542E" wp14:editId="7F95A26E">
            <wp:extent cx="4255128" cy="3134933"/>
            <wp:effectExtent l="0" t="0" r="0" b="8890"/>
            <wp:docPr id="4245114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93" cy="314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755C" w14:textId="51F36BC9" w:rsidR="00CE20AA" w:rsidRPr="00A530CF" w:rsidRDefault="00CE20AA" w:rsidP="00F368A4">
      <w:pPr>
        <w:spacing w:after="0" w:line="240" w:lineRule="auto"/>
        <w:contextualSpacing/>
        <w:jc w:val="center"/>
        <w:rPr>
          <w:rFonts w:ascii="Calibri" w:hAnsi="Calibri" w:cs="Calibri"/>
          <w:i/>
          <w:iCs/>
          <w:sz w:val="16"/>
          <w:szCs w:val="16"/>
        </w:rPr>
      </w:pPr>
      <w:r w:rsidRPr="00A530CF">
        <w:rPr>
          <w:rFonts w:ascii="Calibri" w:hAnsi="Calibri" w:cs="Calibri"/>
          <w:i/>
          <w:iCs/>
          <w:sz w:val="16"/>
          <w:szCs w:val="16"/>
        </w:rPr>
        <w:t xml:space="preserve">Fig.1 Fonte: </w:t>
      </w:r>
      <w:proofErr w:type="spellStart"/>
      <w:r w:rsidRPr="00A530CF">
        <w:rPr>
          <w:rFonts w:ascii="Calibri" w:hAnsi="Calibri" w:cs="Calibri"/>
          <w:i/>
          <w:iCs/>
          <w:sz w:val="16"/>
          <w:szCs w:val="16"/>
        </w:rPr>
        <w:t>Macrobond</w:t>
      </w:r>
      <w:proofErr w:type="spellEnd"/>
    </w:p>
    <w:p w14:paraId="24BCD9FC" w14:textId="77777777" w:rsidR="00F368A4" w:rsidRDefault="00F368A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5B29964E" w14:textId="307CCC47" w:rsidR="00471F28" w:rsidRPr="00F368A4" w:rsidRDefault="00286F5E" w:rsidP="007C58CB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Nonostante ciò, propr</w:t>
      </w:r>
      <w:r w:rsidR="003130D4">
        <w:rPr>
          <w:rFonts w:ascii="Calibri" w:hAnsi="Calibri" w:cs="Calibri"/>
        </w:rPr>
        <w:t>io</w:t>
      </w:r>
      <w:r>
        <w:rPr>
          <w:rFonts w:ascii="Calibri" w:hAnsi="Calibri" w:cs="Calibri"/>
        </w:rPr>
        <w:t xml:space="preserve"> come avvenne nel 1930 e in altri</w:t>
      </w:r>
      <w:r w:rsidR="00E81075" w:rsidRPr="00F368A4">
        <w:rPr>
          <w:rFonts w:ascii="Calibri" w:hAnsi="Calibri" w:cs="Calibri"/>
        </w:rPr>
        <w:t xml:space="preserve"> momenti di crisi economica, </w:t>
      </w:r>
      <w:r>
        <w:rPr>
          <w:rFonts w:ascii="Calibri" w:hAnsi="Calibri" w:cs="Calibri"/>
        </w:rPr>
        <w:t>anche</w:t>
      </w:r>
      <w:r w:rsidR="00471F28" w:rsidRPr="00F368A4">
        <w:rPr>
          <w:rFonts w:ascii="Calibri" w:hAnsi="Calibri" w:cs="Calibri"/>
        </w:rPr>
        <w:t xml:space="preserve"> dopo </w:t>
      </w:r>
      <w:r>
        <w:rPr>
          <w:rFonts w:ascii="Calibri" w:hAnsi="Calibri" w:cs="Calibri"/>
        </w:rPr>
        <w:t>la pandemia</w:t>
      </w:r>
      <w:r w:rsidR="00471F28" w:rsidRPr="00F368A4">
        <w:rPr>
          <w:rFonts w:ascii="Calibri" w:hAnsi="Calibri" w:cs="Calibri"/>
        </w:rPr>
        <w:t xml:space="preserve"> il numero di misure discriminatorie è aumentato.</w:t>
      </w:r>
    </w:p>
    <w:p w14:paraId="282055FB" w14:textId="77777777" w:rsidR="00F368A4" w:rsidRDefault="00F368A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4A1DEA8D" w14:textId="576F1003" w:rsidR="00320D40" w:rsidRPr="00F368A4" w:rsidRDefault="00D90BDE" w:rsidP="00A530CF">
      <w:pPr>
        <w:spacing w:after="0" w:line="240" w:lineRule="auto"/>
        <w:contextualSpacing/>
        <w:rPr>
          <w:rFonts w:ascii="Calibri" w:hAnsi="Calibri" w:cs="Calibri"/>
        </w:rPr>
      </w:pPr>
      <w:r w:rsidRPr="00A530CF">
        <w:rPr>
          <w:rFonts w:ascii="Calibri" w:hAnsi="Calibri" w:cs="Calibri"/>
          <w:b/>
          <w:bCs/>
        </w:rPr>
        <w:t xml:space="preserve">Fino alla GFC </w:t>
      </w:r>
      <w:r w:rsidR="000D675D" w:rsidRPr="00A530CF">
        <w:rPr>
          <w:rFonts w:ascii="Calibri" w:hAnsi="Calibri" w:cs="Calibri"/>
          <w:b/>
          <w:bCs/>
        </w:rPr>
        <w:t>d</w:t>
      </w:r>
      <w:r w:rsidR="00054B76" w:rsidRPr="00A530CF">
        <w:rPr>
          <w:rFonts w:ascii="Calibri" w:hAnsi="Calibri" w:cs="Calibri"/>
          <w:b/>
          <w:bCs/>
        </w:rPr>
        <w:t>e</w:t>
      </w:r>
      <w:r w:rsidRPr="00A530CF">
        <w:rPr>
          <w:rFonts w:ascii="Calibri" w:hAnsi="Calibri" w:cs="Calibri"/>
          <w:b/>
          <w:bCs/>
        </w:rPr>
        <w:t>l 2008</w:t>
      </w:r>
      <w:r w:rsidR="000D675D" w:rsidRPr="00A530CF">
        <w:rPr>
          <w:rFonts w:ascii="Calibri" w:hAnsi="Calibri" w:cs="Calibri"/>
          <w:b/>
          <w:bCs/>
        </w:rPr>
        <w:t>,</w:t>
      </w:r>
      <w:r w:rsidRPr="00A530CF">
        <w:rPr>
          <w:rFonts w:ascii="Calibri" w:hAnsi="Calibri" w:cs="Calibri"/>
          <w:b/>
          <w:bCs/>
        </w:rPr>
        <w:t xml:space="preserve"> </w:t>
      </w:r>
      <w:r w:rsidR="00C24A15" w:rsidRPr="00A530CF">
        <w:rPr>
          <w:rFonts w:ascii="Calibri" w:hAnsi="Calibri" w:cs="Calibri"/>
          <w:b/>
          <w:bCs/>
        </w:rPr>
        <w:t>la crescita de</w:t>
      </w:r>
      <w:r w:rsidR="009624F9" w:rsidRPr="00A530CF">
        <w:rPr>
          <w:rFonts w:ascii="Calibri" w:hAnsi="Calibri" w:cs="Calibri"/>
          <w:b/>
          <w:bCs/>
        </w:rPr>
        <w:t xml:space="preserve">gli scambi globali </w:t>
      </w:r>
      <w:r w:rsidR="009D45B9" w:rsidRPr="00A530CF">
        <w:rPr>
          <w:rFonts w:ascii="Calibri" w:hAnsi="Calibri" w:cs="Calibri"/>
          <w:b/>
          <w:bCs/>
        </w:rPr>
        <w:t xml:space="preserve">è stata doppia rispetto a quella del </w:t>
      </w:r>
      <w:r w:rsidR="000D675D" w:rsidRPr="00A530CF">
        <w:rPr>
          <w:rFonts w:ascii="Calibri" w:hAnsi="Calibri" w:cs="Calibri"/>
          <w:b/>
          <w:bCs/>
        </w:rPr>
        <w:t>P</w:t>
      </w:r>
      <w:r w:rsidR="00286F5E" w:rsidRPr="00A530CF">
        <w:rPr>
          <w:rFonts w:ascii="Calibri" w:hAnsi="Calibri" w:cs="Calibri"/>
          <w:b/>
          <w:bCs/>
        </w:rPr>
        <w:t>il</w:t>
      </w:r>
      <w:r w:rsidR="009D45B9" w:rsidRPr="00A530CF">
        <w:rPr>
          <w:rFonts w:ascii="Calibri" w:hAnsi="Calibri" w:cs="Calibri"/>
          <w:b/>
          <w:bCs/>
        </w:rPr>
        <w:t>, d</w:t>
      </w:r>
      <w:r w:rsidR="008E0408" w:rsidRPr="00A530CF">
        <w:rPr>
          <w:rFonts w:ascii="Calibri" w:hAnsi="Calibri" w:cs="Calibri"/>
          <w:b/>
          <w:bCs/>
        </w:rPr>
        <w:t xml:space="preserve">al 2011 </w:t>
      </w:r>
      <w:r w:rsidR="00C96EAE" w:rsidRPr="00A530CF">
        <w:rPr>
          <w:rFonts w:ascii="Calibri" w:hAnsi="Calibri" w:cs="Calibri"/>
          <w:b/>
          <w:bCs/>
        </w:rPr>
        <w:t xml:space="preserve">invece </w:t>
      </w:r>
      <w:r w:rsidR="000D675D" w:rsidRPr="00A530CF">
        <w:rPr>
          <w:rFonts w:ascii="Calibri" w:hAnsi="Calibri" w:cs="Calibri"/>
          <w:b/>
          <w:bCs/>
        </w:rPr>
        <w:t>il</w:t>
      </w:r>
      <w:r w:rsidR="008D5B86" w:rsidRPr="00A530CF">
        <w:rPr>
          <w:rFonts w:ascii="Calibri" w:hAnsi="Calibri" w:cs="Calibri"/>
          <w:b/>
          <w:bCs/>
        </w:rPr>
        <w:t xml:space="preserve"> rapporto </w:t>
      </w:r>
      <w:r w:rsidR="004B7ED7" w:rsidRPr="00A530CF">
        <w:rPr>
          <w:rFonts w:ascii="Calibri" w:hAnsi="Calibri" w:cs="Calibri"/>
          <w:b/>
          <w:bCs/>
        </w:rPr>
        <w:t>è di circa</w:t>
      </w:r>
      <w:r w:rsidR="008D5B86" w:rsidRPr="00A530CF">
        <w:rPr>
          <w:rFonts w:ascii="Calibri" w:hAnsi="Calibri" w:cs="Calibri"/>
          <w:b/>
          <w:bCs/>
        </w:rPr>
        <w:t xml:space="preserve"> 1</w:t>
      </w:r>
      <w:r w:rsidR="004B7ED7" w:rsidRPr="00A530CF">
        <w:rPr>
          <w:rFonts w:ascii="Calibri" w:hAnsi="Calibri" w:cs="Calibri"/>
          <w:b/>
          <w:bCs/>
        </w:rPr>
        <w:t>:1</w:t>
      </w:r>
      <w:r w:rsidR="0068614D" w:rsidRPr="00A530CF">
        <w:rPr>
          <w:rFonts w:ascii="Calibri" w:hAnsi="Calibri" w:cs="Calibri"/>
          <w:b/>
          <w:bCs/>
        </w:rPr>
        <w:t>.</w:t>
      </w:r>
      <w:r w:rsidR="0068614D" w:rsidRPr="00F368A4">
        <w:rPr>
          <w:rFonts w:ascii="Calibri" w:hAnsi="Calibri" w:cs="Calibri"/>
        </w:rPr>
        <w:t xml:space="preserve"> </w:t>
      </w:r>
      <w:r w:rsidR="003130D4">
        <w:rPr>
          <w:rFonts w:ascii="Calibri" w:hAnsi="Calibri" w:cs="Calibri"/>
        </w:rPr>
        <w:t>Ci sono almeno due ragioni principali</w:t>
      </w:r>
      <w:r w:rsidR="00320D40" w:rsidRPr="00F368A4">
        <w:rPr>
          <w:rFonts w:ascii="Calibri" w:hAnsi="Calibri" w:cs="Calibri"/>
        </w:rPr>
        <w:t>:</w:t>
      </w:r>
      <w:r w:rsidR="001A7A44">
        <w:rPr>
          <w:rFonts w:ascii="Calibri" w:hAnsi="Calibri" w:cs="Calibri"/>
        </w:rPr>
        <w:t xml:space="preserve"> </w:t>
      </w:r>
      <w:r w:rsidR="00454967" w:rsidRPr="00A530CF">
        <w:rPr>
          <w:rFonts w:ascii="Calibri" w:hAnsi="Calibri" w:cs="Calibri"/>
          <w:b/>
          <w:bCs/>
        </w:rPr>
        <w:t xml:space="preserve">il maggior peso </w:t>
      </w:r>
      <w:r w:rsidR="001B34B3" w:rsidRPr="00A530CF">
        <w:rPr>
          <w:rFonts w:ascii="Calibri" w:hAnsi="Calibri" w:cs="Calibri"/>
          <w:b/>
          <w:bCs/>
        </w:rPr>
        <w:t>sul P</w:t>
      </w:r>
      <w:r w:rsidR="001A7A44" w:rsidRPr="00A530CF">
        <w:rPr>
          <w:rFonts w:ascii="Calibri" w:hAnsi="Calibri" w:cs="Calibri"/>
          <w:b/>
          <w:bCs/>
        </w:rPr>
        <w:t>il</w:t>
      </w:r>
      <w:r w:rsidR="001B34B3" w:rsidRPr="00A530CF">
        <w:rPr>
          <w:rFonts w:ascii="Calibri" w:hAnsi="Calibri" w:cs="Calibri"/>
          <w:b/>
          <w:bCs/>
        </w:rPr>
        <w:t xml:space="preserve"> globale dei </w:t>
      </w:r>
      <w:r w:rsidR="0068614D" w:rsidRPr="00A530CF">
        <w:rPr>
          <w:rFonts w:ascii="Calibri" w:hAnsi="Calibri" w:cs="Calibri"/>
          <w:b/>
          <w:bCs/>
        </w:rPr>
        <w:t>mercati emergenti</w:t>
      </w:r>
      <w:r w:rsidR="0068614D" w:rsidRPr="00F368A4">
        <w:rPr>
          <w:rFonts w:ascii="Calibri" w:hAnsi="Calibri" w:cs="Calibri"/>
        </w:rPr>
        <w:t>,</w:t>
      </w:r>
      <w:r w:rsidR="007B149E" w:rsidRPr="00F368A4">
        <w:rPr>
          <w:rFonts w:ascii="Calibri" w:hAnsi="Calibri" w:cs="Calibri"/>
        </w:rPr>
        <w:t xml:space="preserve"> </w:t>
      </w:r>
      <w:r w:rsidR="00454967" w:rsidRPr="00F368A4">
        <w:rPr>
          <w:rFonts w:ascii="Calibri" w:hAnsi="Calibri" w:cs="Calibri"/>
        </w:rPr>
        <w:t xml:space="preserve">che </w:t>
      </w:r>
      <w:r w:rsidR="0059685C" w:rsidRPr="00F368A4">
        <w:rPr>
          <w:rFonts w:ascii="Calibri" w:hAnsi="Calibri" w:cs="Calibri"/>
        </w:rPr>
        <w:t xml:space="preserve">tuttavia </w:t>
      </w:r>
      <w:r w:rsidR="00454967" w:rsidRPr="00F368A4">
        <w:rPr>
          <w:rFonts w:ascii="Calibri" w:hAnsi="Calibri" w:cs="Calibri"/>
        </w:rPr>
        <w:t xml:space="preserve">sono </w:t>
      </w:r>
      <w:r w:rsidR="007B149E" w:rsidRPr="00F368A4">
        <w:rPr>
          <w:rFonts w:ascii="Calibri" w:hAnsi="Calibri" w:cs="Calibri"/>
        </w:rPr>
        <w:t xml:space="preserve">caratterizzati da una minore attività </w:t>
      </w:r>
      <w:r w:rsidR="0068614D" w:rsidRPr="00F368A4">
        <w:rPr>
          <w:rFonts w:ascii="Calibri" w:hAnsi="Calibri" w:cs="Calibri"/>
        </w:rPr>
        <w:t>internazional</w:t>
      </w:r>
      <w:r w:rsidR="00454967" w:rsidRPr="00F368A4">
        <w:rPr>
          <w:rFonts w:ascii="Calibri" w:hAnsi="Calibri" w:cs="Calibri"/>
        </w:rPr>
        <w:t>e</w:t>
      </w:r>
      <w:r w:rsidR="0059685C" w:rsidRPr="00F368A4">
        <w:rPr>
          <w:rFonts w:ascii="Calibri" w:hAnsi="Calibri" w:cs="Calibri"/>
        </w:rPr>
        <w:t xml:space="preserve"> rispetto alle economie sviluppate</w:t>
      </w:r>
      <w:r w:rsidR="001A7A44">
        <w:rPr>
          <w:rFonts w:ascii="Calibri" w:hAnsi="Calibri" w:cs="Calibri"/>
        </w:rPr>
        <w:t xml:space="preserve"> e </w:t>
      </w:r>
      <w:r w:rsidR="00A971EE" w:rsidRPr="00A530CF">
        <w:rPr>
          <w:rFonts w:ascii="Calibri" w:hAnsi="Calibri" w:cs="Calibri"/>
          <w:b/>
          <w:bCs/>
        </w:rPr>
        <w:t>una riduzione della crescita della “</w:t>
      </w:r>
      <w:r w:rsidR="00A971EE" w:rsidRPr="00A530CF">
        <w:rPr>
          <w:rFonts w:ascii="Calibri" w:hAnsi="Calibri" w:cs="Calibri"/>
          <w:b/>
          <w:bCs/>
          <w:i/>
          <w:iCs/>
        </w:rPr>
        <w:t xml:space="preserve">global </w:t>
      </w:r>
      <w:proofErr w:type="spellStart"/>
      <w:r w:rsidR="00A971EE" w:rsidRPr="00A530CF">
        <w:rPr>
          <w:rFonts w:ascii="Calibri" w:hAnsi="Calibri" w:cs="Calibri"/>
          <w:b/>
          <w:bCs/>
          <w:i/>
          <w:iCs/>
        </w:rPr>
        <w:t>value</w:t>
      </w:r>
      <w:proofErr w:type="spellEnd"/>
      <w:r w:rsidR="00A971EE" w:rsidRPr="00A530CF">
        <w:rPr>
          <w:rFonts w:ascii="Calibri" w:hAnsi="Calibri" w:cs="Calibri"/>
          <w:b/>
          <w:bCs/>
          <w:i/>
          <w:iCs/>
        </w:rPr>
        <w:t xml:space="preserve"> chain</w:t>
      </w:r>
      <w:r w:rsidR="00A971EE" w:rsidRPr="00A530CF">
        <w:rPr>
          <w:rFonts w:ascii="Calibri" w:hAnsi="Calibri" w:cs="Calibri"/>
          <w:b/>
          <w:bCs/>
        </w:rPr>
        <w:t>”</w:t>
      </w:r>
      <w:r w:rsidR="00082FE6" w:rsidRPr="00F368A4">
        <w:rPr>
          <w:rFonts w:ascii="Calibri" w:hAnsi="Calibri" w:cs="Calibri"/>
        </w:rPr>
        <w:t xml:space="preserve"> (GVC)</w:t>
      </w:r>
      <w:r w:rsidR="00A971EE" w:rsidRPr="00F368A4">
        <w:rPr>
          <w:rFonts w:ascii="Calibri" w:hAnsi="Calibri" w:cs="Calibri"/>
        </w:rPr>
        <w:t xml:space="preserve"> </w:t>
      </w:r>
      <w:r w:rsidR="001A7A44">
        <w:rPr>
          <w:rFonts w:ascii="Calibri" w:hAnsi="Calibri" w:cs="Calibri"/>
        </w:rPr>
        <w:t>con una</w:t>
      </w:r>
      <w:r w:rsidR="00A971EE" w:rsidRPr="00F368A4">
        <w:rPr>
          <w:rFonts w:ascii="Calibri" w:hAnsi="Calibri" w:cs="Calibri"/>
        </w:rPr>
        <w:t xml:space="preserve"> rilocazione della produzione </w:t>
      </w:r>
      <w:r w:rsidR="00425831" w:rsidRPr="00F368A4">
        <w:rPr>
          <w:rFonts w:ascii="Calibri" w:hAnsi="Calibri" w:cs="Calibri"/>
        </w:rPr>
        <w:t>vicino al consumatore finale</w:t>
      </w:r>
      <w:r w:rsidR="00320D40" w:rsidRPr="00F368A4">
        <w:rPr>
          <w:rFonts w:ascii="Calibri" w:hAnsi="Calibri" w:cs="Calibri"/>
        </w:rPr>
        <w:t>.</w:t>
      </w:r>
    </w:p>
    <w:p w14:paraId="4073A66D" w14:textId="77777777" w:rsidR="00F368A4" w:rsidRDefault="00F368A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00B319DC" w14:textId="3EB59343" w:rsidR="003130D4" w:rsidRDefault="00566FA9" w:rsidP="00F368A4">
      <w:pPr>
        <w:spacing w:after="0" w:line="240" w:lineRule="auto"/>
        <w:contextualSpacing/>
        <w:rPr>
          <w:rFonts w:ascii="Calibri" w:hAnsi="Calibri" w:cs="Calibri"/>
        </w:rPr>
      </w:pPr>
      <w:r w:rsidRPr="00A530CF">
        <w:rPr>
          <w:rFonts w:ascii="Calibri" w:hAnsi="Calibri" w:cs="Calibri"/>
          <w:b/>
          <w:bCs/>
        </w:rPr>
        <w:t>Nel 2018 le tariffe imposte da Trum</w:t>
      </w:r>
      <w:r w:rsidR="0054077D" w:rsidRPr="00A530CF">
        <w:rPr>
          <w:rFonts w:ascii="Calibri" w:hAnsi="Calibri" w:cs="Calibri"/>
          <w:b/>
          <w:bCs/>
        </w:rPr>
        <w:t>p</w:t>
      </w:r>
      <w:r w:rsidRPr="00A530CF">
        <w:rPr>
          <w:rFonts w:ascii="Calibri" w:hAnsi="Calibri" w:cs="Calibri"/>
          <w:b/>
          <w:bCs/>
        </w:rPr>
        <w:t xml:space="preserve"> </w:t>
      </w:r>
      <w:r w:rsidR="00152C32" w:rsidRPr="00A530CF">
        <w:rPr>
          <w:rFonts w:ascii="Calibri" w:hAnsi="Calibri" w:cs="Calibri"/>
          <w:b/>
          <w:bCs/>
        </w:rPr>
        <w:t xml:space="preserve">verso la Cina </w:t>
      </w:r>
      <w:r w:rsidR="00570F99" w:rsidRPr="00A530CF">
        <w:rPr>
          <w:rFonts w:ascii="Calibri" w:hAnsi="Calibri" w:cs="Calibri"/>
          <w:b/>
          <w:bCs/>
        </w:rPr>
        <w:t xml:space="preserve">e le ritorsioni </w:t>
      </w:r>
      <w:r w:rsidR="00213527" w:rsidRPr="00A530CF">
        <w:rPr>
          <w:rFonts w:ascii="Calibri" w:hAnsi="Calibri" w:cs="Calibri"/>
          <w:b/>
          <w:bCs/>
        </w:rPr>
        <w:t xml:space="preserve">cinesi </w:t>
      </w:r>
      <w:r w:rsidR="008E6FB1" w:rsidRPr="00A530CF">
        <w:rPr>
          <w:rFonts w:ascii="Calibri" w:hAnsi="Calibri" w:cs="Calibri"/>
          <w:b/>
          <w:bCs/>
        </w:rPr>
        <w:t xml:space="preserve">hanno inciso </w:t>
      </w:r>
      <w:r w:rsidR="00744696" w:rsidRPr="00A530CF">
        <w:rPr>
          <w:rFonts w:ascii="Calibri" w:hAnsi="Calibri" w:cs="Calibri"/>
          <w:b/>
          <w:bCs/>
        </w:rPr>
        <w:t xml:space="preserve">per il 12% del </w:t>
      </w:r>
      <w:r w:rsidR="00DA3BB0" w:rsidRPr="00A530CF">
        <w:rPr>
          <w:rFonts w:ascii="Calibri" w:hAnsi="Calibri" w:cs="Calibri"/>
          <w:b/>
          <w:bCs/>
        </w:rPr>
        <w:t xml:space="preserve">valore </w:t>
      </w:r>
      <w:r w:rsidR="00744696" w:rsidRPr="00A530CF">
        <w:rPr>
          <w:rFonts w:ascii="Calibri" w:hAnsi="Calibri" w:cs="Calibri"/>
          <w:b/>
          <w:bCs/>
        </w:rPr>
        <w:t xml:space="preserve">totale </w:t>
      </w:r>
      <w:r w:rsidR="003B7489" w:rsidRPr="00A530CF">
        <w:rPr>
          <w:rFonts w:ascii="Calibri" w:hAnsi="Calibri" w:cs="Calibri"/>
          <w:b/>
          <w:bCs/>
        </w:rPr>
        <w:t xml:space="preserve">del commercio di beni degli USA e </w:t>
      </w:r>
      <w:r w:rsidR="008E6FB1" w:rsidRPr="00A530CF">
        <w:rPr>
          <w:rFonts w:ascii="Calibri" w:hAnsi="Calibri" w:cs="Calibri"/>
          <w:b/>
          <w:bCs/>
        </w:rPr>
        <w:t>per l</w:t>
      </w:r>
      <w:r w:rsidR="003B7489" w:rsidRPr="00A530CF">
        <w:rPr>
          <w:rFonts w:ascii="Calibri" w:hAnsi="Calibri" w:cs="Calibri"/>
          <w:b/>
          <w:bCs/>
        </w:rPr>
        <w:t xml:space="preserve">’8% </w:t>
      </w:r>
      <w:r w:rsidR="00613976" w:rsidRPr="00A530CF">
        <w:rPr>
          <w:rFonts w:ascii="Calibri" w:hAnsi="Calibri" w:cs="Calibri"/>
          <w:b/>
          <w:bCs/>
        </w:rPr>
        <w:t>di quello della</w:t>
      </w:r>
      <w:r w:rsidR="003B7489" w:rsidRPr="00A530CF">
        <w:rPr>
          <w:rFonts w:ascii="Calibri" w:hAnsi="Calibri" w:cs="Calibri"/>
          <w:b/>
          <w:bCs/>
        </w:rPr>
        <w:t xml:space="preserve"> Cina</w:t>
      </w:r>
      <w:r w:rsidR="00613976" w:rsidRPr="00A530CF">
        <w:rPr>
          <w:rFonts w:ascii="Calibri" w:hAnsi="Calibri" w:cs="Calibri"/>
          <w:b/>
          <w:bCs/>
        </w:rPr>
        <w:t>. L</w:t>
      </w:r>
      <w:r w:rsidR="003B7489" w:rsidRPr="00A530CF">
        <w:rPr>
          <w:rFonts w:ascii="Calibri" w:hAnsi="Calibri" w:cs="Calibri"/>
          <w:b/>
          <w:bCs/>
        </w:rPr>
        <w:t>’impatto di queste misure sul resto del mondo è stato stimato</w:t>
      </w:r>
      <w:r w:rsidR="0054077D" w:rsidRPr="00A530CF">
        <w:rPr>
          <w:rFonts w:ascii="Calibri" w:hAnsi="Calibri" w:cs="Calibri"/>
          <w:b/>
          <w:bCs/>
        </w:rPr>
        <w:t xml:space="preserve"> intorno</w:t>
      </w:r>
      <w:r w:rsidR="003B7489" w:rsidRPr="00A530CF">
        <w:rPr>
          <w:rFonts w:ascii="Calibri" w:hAnsi="Calibri" w:cs="Calibri"/>
          <w:b/>
          <w:bCs/>
        </w:rPr>
        <w:t xml:space="preserve"> al 2%</w:t>
      </w:r>
      <w:r w:rsidR="0072270A" w:rsidRPr="00A530CF">
        <w:rPr>
          <w:rFonts w:ascii="Calibri" w:hAnsi="Calibri" w:cs="Calibri"/>
          <w:b/>
          <w:bCs/>
        </w:rPr>
        <w:t>.</w:t>
      </w:r>
      <w:r w:rsidR="005D079D" w:rsidRPr="00F368A4">
        <w:rPr>
          <w:rFonts w:ascii="Calibri" w:hAnsi="Calibri" w:cs="Calibri"/>
        </w:rPr>
        <w:t xml:space="preserve"> </w:t>
      </w:r>
      <w:r w:rsidR="00772C35" w:rsidRPr="00F368A4">
        <w:rPr>
          <w:rFonts w:ascii="Calibri" w:hAnsi="Calibri" w:cs="Calibri"/>
        </w:rPr>
        <w:t xml:space="preserve">Gli Stati Uniti hanno </w:t>
      </w:r>
      <w:r w:rsidR="00D95944" w:rsidRPr="00F368A4">
        <w:rPr>
          <w:rFonts w:ascii="Calibri" w:hAnsi="Calibri" w:cs="Calibri"/>
        </w:rPr>
        <w:t xml:space="preserve">valutato che </w:t>
      </w:r>
      <w:r w:rsidR="00455E55" w:rsidRPr="00F368A4">
        <w:rPr>
          <w:rFonts w:ascii="Calibri" w:hAnsi="Calibri" w:cs="Calibri"/>
        </w:rPr>
        <w:t xml:space="preserve">le </w:t>
      </w:r>
      <w:r w:rsidR="00D95944" w:rsidRPr="00F368A4">
        <w:rPr>
          <w:rFonts w:ascii="Calibri" w:hAnsi="Calibri" w:cs="Calibri"/>
        </w:rPr>
        <w:t xml:space="preserve">pratiche scorrette della Cina hanno danneggiato </w:t>
      </w:r>
      <w:r w:rsidR="00F901A7" w:rsidRPr="00F368A4">
        <w:rPr>
          <w:rFonts w:ascii="Calibri" w:hAnsi="Calibri" w:cs="Calibri"/>
        </w:rPr>
        <w:t xml:space="preserve">la crescita e la creazione di </w:t>
      </w:r>
      <w:r w:rsidR="00322021" w:rsidRPr="00F368A4">
        <w:rPr>
          <w:rFonts w:ascii="Calibri" w:hAnsi="Calibri" w:cs="Calibri"/>
        </w:rPr>
        <w:t>posti di lavoro</w:t>
      </w:r>
      <w:r w:rsidR="00F901A7" w:rsidRPr="00F368A4">
        <w:rPr>
          <w:rFonts w:ascii="Calibri" w:hAnsi="Calibri" w:cs="Calibri"/>
        </w:rPr>
        <w:t xml:space="preserve"> </w:t>
      </w:r>
      <w:r w:rsidR="00F1212C" w:rsidRPr="00F368A4">
        <w:rPr>
          <w:rFonts w:ascii="Calibri" w:hAnsi="Calibri" w:cs="Calibri"/>
        </w:rPr>
        <w:t>domestici</w:t>
      </w:r>
      <w:r w:rsidR="00F901A7" w:rsidRPr="00F368A4">
        <w:rPr>
          <w:rFonts w:ascii="Calibri" w:hAnsi="Calibri" w:cs="Calibri"/>
        </w:rPr>
        <w:t xml:space="preserve">. </w:t>
      </w:r>
      <w:r w:rsidR="00025611" w:rsidRPr="00F368A4">
        <w:rPr>
          <w:rFonts w:ascii="Calibri" w:hAnsi="Calibri" w:cs="Calibri"/>
        </w:rPr>
        <w:t>Questi motivi sono stati ri</w:t>
      </w:r>
      <w:r w:rsidR="00455E55" w:rsidRPr="00F368A4">
        <w:rPr>
          <w:rFonts w:ascii="Calibri" w:hAnsi="Calibri" w:cs="Calibri"/>
        </w:rPr>
        <w:t>badit</w:t>
      </w:r>
      <w:r w:rsidR="00025611" w:rsidRPr="00F368A4">
        <w:rPr>
          <w:rFonts w:ascii="Calibri" w:hAnsi="Calibri" w:cs="Calibri"/>
        </w:rPr>
        <w:t xml:space="preserve">i </w:t>
      </w:r>
      <w:r w:rsidR="000B17C6" w:rsidRPr="00F368A4">
        <w:rPr>
          <w:rFonts w:ascii="Calibri" w:hAnsi="Calibri" w:cs="Calibri"/>
        </w:rPr>
        <w:t xml:space="preserve">da </w:t>
      </w:r>
      <w:r w:rsidR="007E4D78" w:rsidRPr="00F368A4">
        <w:rPr>
          <w:rFonts w:ascii="Calibri" w:hAnsi="Calibri" w:cs="Calibri"/>
        </w:rPr>
        <w:t>Biden</w:t>
      </w:r>
      <w:r w:rsidR="00025611" w:rsidRPr="00F368A4">
        <w:rPr>
          <w:rFonts w:ascii="Calibri" w:hAnsi="Calibri" w:cs="Calibri"/>
        </w:rPr>
        <w:t xml:space="preserve"> nel comunicato</w:t>
      </w:r>
      <w:r w:rsidR="001A7A44">
        <w:rPr>
          <w:rFonts w:ascii="Calibri" w:hAnsi="Calibri" w:cs="Calibri"/>
        </w:rPr>
        <w:t xml:space="preserve"> che annunciava</w:t>
      </w:r>
      <w:r w:rsidR="007E4D78" w:rsidRPr="00F368A4">
        <w:rPr>
          <w:rFonts w:ascii="Calibri" w:hAnsi="Calibri" w:cs="Calibri"/>
        </w:rPr>
        <w:t xml:space="preserve"> l’i</w:t>
      </w:r>
      <w:r w:rsidR="00007DB7" w:rsidRPr="00F368A4">
        <w:rPr>
          <w:rFonts w:ascii="Calibri" w:hAnsi="Calibri" w:cs="Calibri"/>
        </w:rPr>
        <w:t xml:space="preserve">ncremento </w:t>
      </w:r>
      <w:r w:rsidR="00025611" w:rsidRPr="00F368A4">
        <w:rPr>
          <w:rFonts w:ascii="Calibri" w:hAnsi="Calibri" w:cs="Calibri"/>
        </w:rPr>
        <w:t>delle tariffe verso la Cina</w:t>
      </w:r>
      <w:r w:rsidR="000040B0" w:rsidRPr="00F368A4">
        <w:rPr>
          <w:rFonts w:ascii="Calibri" w:hAnsi="Calibri" w:cs="Calibri"/>
        </w:rPr>
        <w:t xml:space="preserve"> del 14 </w:t>
      </w:r>
      <w:r w:rsidR="001A7A44">
        <w:rPr>
          <w:rFonts w:ascii="Calibri" w:hAnsi="Calibri" w:cs="Calibri"/>
        </w:rPr>
        <w:t>m</w:t>
      </w:r>
      <w:r w:rsidR="000040B0" w:rsidRPr="00F368A4">
        <w:rPr>
          <w:rFonts w:ascii="Calibri" w:hAnsi="Calibri" w:cs="Calibri"/>
        </w:rPr>
        <w:t xml:space="preserve">aggio </w:t>
      </w:r>
      <w:r w:rsidR="001A7A44">
        <w:rPr>
          <w:rFonts w:ascii="Calibri" w:hAnsi="Calibri" w:cs="Calibri"/>
        </w:rPr>
        <w:t>scorso</w:t>
      </w:r>
      <w:r w:rsidR="009E7201" w:rsidRPr="00F368A4">
        <w:rPr>
          <w:rFonts w:ascii="Calibri" w:hAnsi="Calibri" w:cs="Calibri"/>
        </w:rPr>
        <w:t>.</w:t>
      </w:r>
    </w:p>
    <w:p w14:paraId="76211AEA" w14:textId="18B86026" w:rsidR="00054B76" w:rsidRPr="00F368A4" w:rsidRDefault="00054B76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76C4FDBC" w14:textId="4C532D18" w:rsidR="00B80F25" w:rsidRDefault="004C570B" w:rsidP="00F368A4">
      <w:pPr>
        <w:spacing w:after="0" w:line="240" w:lineRule="auto"/>
        <w:contextualSpacing/>
        <w:rPr>
          <w:rFonts w:ascii="Calibri" w:hAnsi="Calibri" w:cs="Calibri"/>
        </w:rPr>
      </w:pPr>
      <w:r w:rsidRPr="00F368A4">
        <w:rPr>
          <w:rFonts w:ascii="Calibri" w:hAnsi="Calibri" w:cs="Calibri"/>
        </w:rPr>
        <w:t>In generale</w:t>
      </w:r>
      <w:r w:rsidR="00F468E1" w:rsidRPr="00F368A4">
        <w:rPr>
          <w:rFonts w:ascii="Calibri" w:hAnsi="Calibri" w:cs="Calibri"/>
        </w:rPr>
        <w:t xml:space="preserve">, </w:t>
      </w:r>
      <w:r w:rsidRPr="00F368A4">
        <w:rPr>
          <w:rFonts w:ascii="Calibri" w:hAnsi="Calibri" w:cs="Calibri"/>
        </w:rPr>
        <w:t xml:space="preserve">maggiori </w:t>
      </w:r>
      <w:r w:rsidR="00BF4584">
        <w:rPr>
          <w:rFonts w:ascii="Calibri" w:hAnsi="Calibri" w:cs="Calibri"/>
        </w:rPr>
        <w:t xml:space="preserve">sono </w:t>
      </w:r>
      <w:r w:rsidRPr="00F368A4">
        <w:rPr>
          <w:rFonts w:ascii="Calibri" w:hAnsi="Calibri" w:cs="Calibri"/>
        </w:rPr>
        <w:t>i prezzi dei beni importati</w:t>
      </w:r>
      <w:r w:rsidR="00F468E1" w:rsidRPr="00F368A4">
        <w:rPr>
          <w:rFonts w:ascii="Calibri" w:hAnsi="Calibri" w:cs="Calibri"/>
        </w:rPr>
        <w:t>,</w:t>
      </w:r>
      <w:r w:rsidR="00DF175F" w:rsidRPr="00F368A4">
        <w:rPr>
          <w:rFonts w:ascii="Calibri" w:hAnsi="Calibri" w:cs="Calibri"/>
        </w:rPr>
        <w:t xml:space="preserve"> </w:t>
      </w:r>
      <w:r w:rsidRPr="00F368A4">
        <w:rPr>
          <w:rFonts w:ascii="Calibri" w:hAnsi="Calibri" w:cs="Calibri"/>
        </w:rPr>
        <w:t>maggiori i costi di produzione e maggior</w:t>
      </w:r>
      <w:r w:rsidR="00986B73" w:rsidRPr="00F368A4">
        <w:rPr>
          <w:rFonts w:ascii="Calibri" w:hAnsi="Calibri" w:cs="Calibri"/>
        </w:rPr>
        <w:t>e</w:t>
      </w:r>
      <w:r w:rsidR="00833E37" w:rsidRPr="00F368A4">
        <w:rPr>
          <w:rFonts w:ascii="Calibri" w:hAnsi="Calibri" w:cs="Calibri"/>
        </w:rPr>
        <w:t xml:space="preserve"> è</w:t>
      </w:r>
      <w:r w:rsidR="00986B73" w:rsidRPr="00F368A4">
        <w:rPr>
          <w:rFonts w:ascii="Calibri" w:hAnsi="Calibri" w:cs="Calibri"/>
        </w:rPr>
        <w:t xml:space="preserve"> l’inflazione (se </w:t>
      </w:r>
      <w:r w:rsidR="00442198" w:rsidRPr="00F368A4">
        <w:rPr>
          <w:rFonts w:ascii="Calibri" w:hAnsi="Calibri" w:cs="Calibri"/>
        </w:rPr>
        <w:t xml:space="preserve">le tariffe </w:t>
      </w:r>
      <w:r w:rsidR="00986B73" w:rsidRPr="00F368A4">
        <w:rPr>
          <w:rFonts w:ascii="Calibri" w:hAnsi="Calibri" w:cs="Calibri"/>
        </w:rPr>
        <w:t>non</w:t>
      </w:r>
      <w:r w:rsidR="00442198" w:rsidRPr="00F368A4">
        <w:rPr>
          <w:rFonts w:ascii="Calibri" w:hAnsi="Calibri" w:cs="Calibri"/>
        </w:rPr>
        <w:t xml:space="preserve"> sono</w:t>
      </w:r>
      <w:r w:rsidR="00986B73" w:rsidRPr="00F368A4">
        <w:rPr>
          <w:rFonts w:ascii="Calibri" w:hAnsi="Calibri" w:cs="Calibri"/>
        </w:rPr>
        <w:t xml:space="preserve"> assorbit</w:t>
      </w:r>
      <w:r w:rsidR="00442198" w:rsidRPr="00F368A4">
        <w:rPr>
          <w:rFonts w:ascii="Calibri" w:hAnsi="Calibri" w:cs="Calibri"/>
        </w:rPr>
        <w:t>e</w:t>
      </w:r>
      <w:r w:rsidR="00986B73" w:rsidRPr="00F368A4">
        <w:rPr>
          <w:rFonts w:ascii="Calibri" w:hAnsi="Calibri" w:cs="Calibri"/>
        </w:rPr>
        <w:t xml:space="preserve"> </w:t>
      </w:r>
      <w:r w:rsidR="0064790E" w:rsidRPr="00F368A4">
        <w:rPr>
          <w:rFonts w:ascii="Calibri" w:hAnsi="Calibri" w:cs="Calibri"/>
        </w:rPr>
        <w:t>da margini</w:t>
      </w:r>
      <w:r w:rsidR="00CF3C24" w:rsidRPr="00F368A4">
        <w:rPr>
          <w:rFonts w:ascii="Calibri" w:hAnsi="Calibri" w:cs="Calibri"/>
        </w:rPr>
        <w:t xml:space="preserve"> </w:t>
      </w:r>
      <w:r w:rsidR="00833E37" w:rsidRPr="00F368A4">
        <w:rPr>
          <w:rFonts w:ascii="Calibri" w:hAnsi="Calibri" w:cs="Calibri"/>
        </w:rPr>
        <w:t xml:space="preserve">più bassi </w:t>
      </w:r>
      <w:r w:rsidR="00CF3C24" w:rsidRPr="00F368A4">
        <w:rPr>
          <w:rFonts w:ascii="Calibri" w:hAnsi="Calibri" w:cs="Calibri"/>
        </w:rPr>
        <w:t xml:space="preserve">per </w:t>
      </w:r>
      <w:r w:rsidR="00833E37" w:rsidRPr="00F368A4">
        <w:rPr>
          <w:rFonts w:ascii="Calibri" w:hAnsi="Calibri" w:cs="Calibri"/>
        </w:rPr>
        <w:t>i produttori</w:t>
      </w:r>
      <w:r w:rsidR="0064790E" w:rsidRPr="00F368A4">
        <w:rPr>
          <w:rFonts w:ascii="Calibri" w:hAnsi="Calibri" w:cs="Calibri"/>
        </w:rPr>
        <w:t>)</w:t>
      </w:r>
      <w:r w:rsidR="00CF3C24" w:rsidRPr="00F368A4">
        <w:rPr>
          <w:rFonts w:ascii="Calibri" w:hAnsi="Calibri" w:cs="Calibri"/>
        </w:rPr>
        <w:t>. Questo impa</w:t>
      </w:r>
      <w:r w:rsidR="003E5E09" w:rsidRPr="00F368A4">
        <w:rPr>
          <w:rFonts w:ascii="Calibri" w:hAnsi="Calibri" w:cs="Calibri"/>
        </w:rPr>
        <w:t xml:space="preserve">tta il reddito reale con </w:t>
      </w:r>
      <w:r w:rsidR="00F368A4" w:rsidRPr="00F368A4">
        <w:rPr>
          <w:rFonts w:ascii="Calibri" w:hAnsi="Calibri" w:cs="Calibri"/>
        </w:rPr>
        <w:t>effetti negativi</w:t>
      </w:r>
      <w:r w:rsidR="00117CC2" w:rsidRPr="00F368A4">
        <w:rPr>
          <w:rFonts w:ascii="Calibri" w:hAnsi="Calibri" w:cs="Calibri"/>
        </w:rPr>
        <w:t xml:space="preserve"> </w:t>
      </w:r>
      <w:r w:rsidR="003E5E09" w:rsidRPr="00F368A4">
        <w:rPr>
          <w:rFonts w:ascii="Calibri" w:hAnsi="Calibri" w:cs="Calibri"/>
        </w:rPr>
        <w:t>sui consumi</w:t>
      </w:r>
      <w:r w:rsidR="00117CC2" w:rsidRPr="00F368A4">
        <w:rPr>
          <w:rFonts w:ascii="Calibri" w:hAnsi="Calibri" w:cs="Calibri"/>
        </w:rPr>
        <w:t>, investimenti e occupazione. Tuttavia</w:t>
      </w:r>
      <w:r w:rsidR="00F368A4">
        <w:rPr>
          <w:rFonts w:ascii="Calibri" w:hAnsi="Calibri" w:cs="Calibri"/>
        </w:rPr>
        <w:t>,</w:t>
      </w:r>
      <w:r w:rsidR="00117CC2" w:rsidRPr="00F368A4">
        <w:rPr>
          <w:rFonts w:ascii="Calibri" w:hAnsi="Calibri" w:cs="Calibri"/>
        </w:rPr>
        <w:t xml:space="preserve"> </w:t>
      </w:r>
      <w:r w:rsidR="00D0101F" w:rsidRPr="00A530CF">
        <w:rPr>
          <w:rFonts w:ascii="Calibri" w:hAnsi="Calibri" w:cs="Calibri"/>
          <w:b/>
          <w:bCs/>
        </w:rPr>
        <w:t>i</w:t>
      </w:r>
      <w:r w:rsidR="00176B20" w:rsidRPr="00A530CF">
        <w:rPr>
          <w:rFonts w:ascii="Calibri" w:hAnsi="Calibri" w:cs="Calibri"/>
          <w:b/>
          <w:bCs/>
        </w:rPr>
        <w:t xml:space="preserve"> </w:t>
      </w:r>
      <w:r w:rsidR="00D0101F" w:rsidRPr="00A530CF">
        <w:rPr>
          <w:rFonts w:ascii="Calibri" w:hAnsi="Calibri" w:cs="Calibri"/>
          <w:b/>
          <w:bCs/>
        </w:rPr>
        <w:t>consumator</w:t>
      </w:r>
      <w:r w:rsidR="00176B20" w:rsidRPr="00A530CF">
        <w:rPr>
          <w:rFonts w:ascii="Calibri" w:hAnsi="Calibri" w:cs="Calibri"/>
          <w:b/>
          <w:bCs/>
        </w:rPr>
        <w:t>i</w:t>
      </w:r>
      <w:r w:rsidR="00D0101F" w:rsidRPr="00A530CF">
        <w:rPr>
          <w:rFonts w:ascii="Calibri" w:hAnsi="Calibri" w:cs="Calibri"/>
          <w:b/>
          <w:bCs/>
        </w:rPr>
        <w:t xml:space="preserve"> potrebbe</w:t>
      </w:r>
      <w:r w:rsidR="00176B20" w:rsidRPr="00A530CF">
        <w:rPr>
          <w:rFonts w:ascii="Calibri" w:hAnsi="Calibri" w:cs="Calibri"/>
          <w:b/>
          <w:bCs/>
        </w:rPr>
        <w:t>ro</w:t>
      </w:r>
      <w:r w:rsidR="00D0101F" w:rsidRPr="00A530CF">
        <w:rPr>
          <w:rFonts w:ascii="Calibri" w:hAnsi="Calibri" w:cs="Calibri"/>
          <w:b/>
          <w:bCs/>
        </w:rPr>
        <w:t xml:space="preserve"> scegliere di </w:t>
      </w:r>
      <w:r w:rsidR="00461788" w:rsidRPr="00A530CF">
        <w:rPr>
          <w:rFonts w:ascii="Calibri" w:hAnsi="Calibri" w:cs="Calibri"/>
          <w:b/>
          <w:bCs/>
        </w:rPr>
        <w:t>sostituir</w:t>
      </w:r>
      <w:r w:rsidR="00A4683D" w:rsidRPr="00A530CF">
        <w:rPr>
          <w:rFonts w:ascii="Calibri" w:hAnsi="Calibri" w:cs="Calibri"/>
          <w:b/>
          <w:bCs/>
        </w:rPr>
        <w:t>e i beni importati</w:t>
      </w:r>
      <w:r w:rsidR="00461788" w:rsidRPr="00A530CF">
        <w:rPr>
          <w:rFonts w:ascii="Calibri" w:hAnsi="Calibri" w:cs="Calibri"/>
          <w:b/>
          <w:bCs/>
        </w:rPr>
        <w:t xml:space="preserve"> con </w:t>
      </w:r>
      <w:r w:rsidR="009F5E65" w:rsidRPr="00A530CF">
        <w:rPr>
          <w:rFonts w:ascii="Calibri" w:hAnsi="Calibri" w:cs="Calibri"/>
          <w:b/>
          <w:bCs/>
        </w:rPr>
        <w:t>beni</w:t>
      </w:r>
      <w:r w:rsidR="00D0101F" w:rsidRPr="00A530CF">
        <w:rPr>
          <w:rFonts w:ascii="Calibri" w:hAnsi="Calibri" w:cs="Calibri"/>
          <w:b/>
          <w:bCs/>
        </w:rPr>
        <w:t xml:space="preserve"> </w:t>
      </w:r>
      <w:r w:rsidR="00362999" w:rsidRPr="00A530CF">
        <w:rPr>
          <w:rFonts w:ascii="Calibri" w:hAnsi="Calibri" w:cs="Calibri"/>
          <w:b/>
          <w:bCs/>
        </w:rPr>
        <w:t>prodotti internamente</w:t>
      </w:r>
      <w:r w:rsidR="00AF0D58" w:rsidRPr="00A530CF">
        <w:rPr>
          <w:rFonts w:ascii="Calibri" w:hAnsi="Calibri" w:cs="Calibri"/>
          <w:b/>
          <w:bCs/>
        </w:rPr>
        <w:t xml:space="preserve"> </w:t>
      </w:r>
      <w:r w:rsidR="00BE2712" w:rsidRPr="00A530CF">
        <w:rPr>
          <w:rFonts w:ascii="Calibri" w:hAnsi="Calibri" w:cs="Calibri"/>
          <w:b/>
          <w:bCs/>
        </w:rPr>
        <w:t>e</w:t>
      </w:r>
      <w:r w:rsidR="00BF4584" w:rsidRPr="00A530CF">
        <w:rPr>
          <w:rFonts w:ascii="Calibri" w:hAnsi="Calibri" w:cs="Calibri"/>
          <w:b/>
          <w:bCs/>
        </w:rPr>
        <w:t>,</w:t>
      </w:r>
      <w:r w:rsidR="00BE2712" w:rsidRPr="00A530CF">
        <w:rPr>
          <w:rFonts w:ascii="Calibri" w:hAnsi="Calibri" w:cs="Calibri"/>
          <w:b/>
          <w:bCs/>
        </w:rPr>
        <w:t xml:space="preserve"> in questo caso</w:t>
      </w:r>
      <w:r w:rsidR="00BF4584" w:rsidRPr="00A530CF">
        <w:rPr>
          <w:rFonts w:ascii="Calibri" w:hAnsi="Calibri" w:cs="Calibri"/>
          <w:b/>
          <w:bCs/>
        </w:rPr>
        <w:t>,</w:t>
      </w:r>
      <w:r w:rsidR="00BE2712" w:rsidRPr="00A530CF">
        <w:rPr>
          <w:rFonts w:ascii="Calibri" w:hAnsi="Calibri" w:cs="Calibri"/>
          <w:b/>
          <w:bCs/>
        </w:rPr>
        <w:t xml:space="preserve"> </w:t>
      </w:r>
      <w:r w:rsidR="0052147F" w:rsidRPr="00A530CF">
        <w:rPr>
          <w:rFonts w:ascii="Calibri" w:hAnsi="Calibri" w:cs="Calibri"/>
          <w:b/>
          <w:bCs/>
        </w:rPr>
        <w:t xml:space="preserve">i consumi e </w:t>
      </w:r>
      <w:r w:rsidR="0052147F" w:rsidRPr="00A530CF">
        <w:rPr>
          <w:rFonts w:ascii="Calibri" w:hAnsi="Calibri" w:cs="Calibri"/>
          <w:b/>
          <w:bCs/>
        </w:rPr>
        <w:lastRenderedPageBreak/>
        <w:t>l</w:t>
      </w:r>
      <w:r w:rsidR="0082047E" w:rsidRPr="00A530CF">
        <w:rPr>
          <w:rFonts w:ascii="Calibri" w:hAnsi="Calibri" w:cs="Calibri"/>
          <w:b/>
          <w:bCs/>
        </w:rPr>
        <w:t>’</w:t>
      </w:r>
      <w:r w:rsidR="0052147F" w:rsidRPr="00A530CF">
        <w:rPr>
          <w:rFonts w:ascii="Calibri" w:hAnsi="Calibri" w:cs="Calibri"/>
          <w:b/>
          <w:bCs/>
        </w:rPr>
        <w:t>attività</w:t>
      </w:r>
      <w:r w:rsidR="003C18EF" w:rsidRPr="00A530CF">
        <w:rPr>
          <w:rFonts w:ascii="Calibri" w:hAnsi="Calibri" w:cs="Calibri"/>
          <w:b/>
          <w:bCs/>
        </w:rPr>
        <w:t xml:space="preserve"> economica</w:t>
      </w:r>
      <w:r w:rsidR="0052147F" w:rsidRPr="00A530CF">
        <w:rPr>
          <w:rFonts w:ascii="Calibri" w:hAnsi="Calibri" w:cs="Calibri"/>
          <w:b/>
          <w:bCs/>
        </w:rPr>
        <w:t xml:space="preserve"> aumenterebbero.</w:t>
      </w:r>
      <w:r w:rsidR="0052147F" w:rsidRPr="00F368A4">
        <w:rPr>
          <w:rFonts w:ascii="Calibri" w:hAnsi="Calibri" w:cs="Calibri"/>
        </w:rPr>
        <w:t xml:space="preserve"> </w:t>
      </w:r>
      <w:r w:rsidR="003C18EF" w:rsidRPr="00F368A4">
        <w:rPr>
          <w:rFonts w:ascii="Calibri" w:hAnsi="Calibri" w:cs="Calibri"/>
        </w:rPr>
        <w:t>I</w:t>
      </w:r>
      <w:r w:rsidR="00503458" w:rsidRPr="00F368A4">
        <w:rPr>
          <w:rFonts w:ascii="Calibri" w:hAnsi="Calibri" w:cs="Calibri"/>
        </w:rPr>
        <w:t xml:space="preserve"> benefici</w:t>
      </w:r>
      <w:r w:rsidR="003C18EF" w:rsidRPr="00F368A4">
        <w:rPr>
          <w:rFonts w:ascii="Calibri" w:hAnsi="Calibri" w:cs="Calibri"/>
        </w:rPr>
        <w:t>, però,</w:t>
      </w:r>
      <w:r w:rsidR="00503458" w:rsidRPr="00F368A4">
        <w:rPr>
          <w:rFonts w:ascii="Calibri" w:hAnsi="Calibri" w:cs="Calibri"/>
        </w:rPr>
        <w:t xml:space="preserve"> verrebbero meno se ci fossero </w:t>
      </w:r>
      <w:r w:rsidR="00384E8A" w:rsidRPr="00F368A4">
        <w:rPr>
          <w:rFonts w:ascii="Calibri" w:hAnsi="Calibri" w:cs="Calibri"/>
        </w:rPr>
        <w:t xml:space="preserve">ritorsioni da </w:t>
      </w:r>
      <w:r w:rsidR="00933012" w:rsidRPr="00F368A4">
        <w:rPr>
          <w:rFonts w:ascii="Calibri" w:hAnsi="Calibri" w:cs="Calibri"/>
        </w:rPr>
        <w:t xml:space="preserve">parte di </w:t>
      </w:r>
      <w:r w:rsidR="00384E8A" w:rsidRPr="00F368A4">
        <w:rPr>
          <w:rFonts w:ascii="Calibri" w:hAnsi="Calibri" w:cs="Calibri"/>
        </w:rPr>
        <w:t>altri trading partner</w:t>
      </w:r>
      <w:r w:rsidR="00BB2D7D" w:rsidRPr="00F368A4">
        <w:rPr>
          <w:rFonts w:ascii="Calibri" w:hAnsi="Calibri" w:cs="Calibri"/>
        </w:rPr>
        <w:t>.</w:t>
      </w:r>
    </w:p>
    <w:p w14:paraId="1A32802E" w14:textId="77777777" w:rsidR="00BF4584" w:rsidRPr="00F368A4" w:rsidRDefault="00BF458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59C41F69" w14:textId="51539E5D" w:rsidR="00C72B26" w:rsidRPr="00F368A4" w:rsidRDefault="008B4B5D" w:rsidP="00F368A4">
      <w:pPr>
        <w:spacing w:after="0" w:line="240" w:lineRule="auto"/>
        <w:contextualSpacing/>
        <w:rPr>
          <w:rFonts w:ascii="Calibri" w:hAnsi="Calibri" w:cs="Calibri"/>
          <w:noProof/>
        </w:rPr>
      </w:pPr>
      <w:r w:rsidRPr="00A530CF">
        <w:rPr>
          <w:rFonts w:ascii="Calibri" w:hAnsi="Calibri" w:cs="Calibri"/>
          <w:b/>
          <w:bCs/>
        </w:rPr>
        <w:t xml:space="preserve">I rischi </w:t>
      </w:r>
      <w:r w:rsidR="00021179" w:rsidRPr="00A530CF">
        <w:rPr>
          <w:rFonts w:ascii="Calibri" w:hAnsi="Calibri" w:cs="Calibri"/>
          <w:b/>
          <w:bCs/>
        </w:rPr>
        <w:t xml:space="preserve">di </w:t>
      </w:r>
      <w:r w:rsidR="00B80F25" w:rsidRPr="00A530CF">
        <w:rPr>
          <w:rFonts w:ascii="Calibri" w:hAnsi="Calibri" w:cs="Calibri"/>
          <w:b/>
          <w:bCs/>
        </w:rPr>
        <w:t xml:space="preserve">spillover </w:t>
      </w:r>
      <w:r w:rsidR="00021179" w:rsidRPr="00A530CF">
        <w:rPr>
          <w:rFonts w:ascii="Calibri" w:hAnsi="Calibri" w:cs="Calibri"/>
          <w:b/>
          <w:bCs/>
        </w:rPr>
        <w:t xml:space="preserve">tra </w:t>
      </w:r>
      <w:r w:rsidRPr="00A530CF">
        <w:rPr>
          <w:rFonts w:ascii="Calibri" w:hAnsi="Calibri" w:cs="Calibri"/>
          <w:b/>
          <w:bCs/>
        </w:rPr>
        <w:t xml:space="preserve">USA e Cina sono maggiori </w:t>
      </w:r>
      <w:r w:rsidR="00933012" w:rsidRPr="00A530CF">
        <w:rPr>
          <w:rFonts w:ascii="Calibri" w:hAnsi="Calibri" w:cs="Calibri"/>
          <w:b/>
          <w:bCs/>
        </w:rPr>
        <w:t>quanto più</w:t>
      </w:r>
      <w:r w:rsidRPr="00A530CF">
        <w:rPr>
          <w:rFonts w:ascii="Calibri" w:hAnsi="Calibri" w:cs="Calibri"/>
          <w:b/>
          <w:bCs/>
        </w:rPr>
        <w:t xml:space="preserve"> è frammenta</w:t>
      </w:r>
      <w:r w:rsidR="00F62684" w:rsidRPr="00A530CF">
        <w:rPr>
          <w:rFonts w:ascii="Calibri" w:hAnsi="Calibri" w:cs="Calibri"/>
          <w:b/>
          <w:bCs/>
        </w:rPr>
        <w:t>ta la catena del valore</w:t>
      </w:r>
      <w:r w:rsidR="00050578" w:rsidRPr="00F368A4">
        <w:rPr>
          <w:rFonts w:ascii="Calibri" w:hAnsi="Calibri" w:cs="Calibri"/>
        </w:rPr>
        <w:t>.</w:t>
      </w:r>
      <w:r w:rsidRPr="00F368A4">
        <w:rPr>
          <w:rFonts w:ascii="Calibri" w:hAnsi="Calibri" w:cs="Calibri"/>
        </w:rPr>
        <w:t xml:space="preserve"> </w:t>
      </w:r>
      <w:r w:rsidR="00050578" w:rsidRPr="00F368A4">
        <w:rPr>
          <w:rFonts w:ascii="Calibri" w:hAnsi="Calibri" w:cs="Calibri"/>
        </w:rPr>
        <w:t>T</w:t>
      </w:r>
      <w:r w:rsidRPr="00F368A4">
        <w:rPr>
          <w:rFonts w:ascii="Calibri" w:hAnsi="Calibri" w:cs="Calibri"/>
        </w:rPr>
        <w:t>uttavia</w:t>
      </w:r>
      <w:r w:rsidR="00050578" w:rsidRPr="00F368A4">
        <w:rPr>
          <w:rFonts w:ascii="Calibri" w:hAnsi="Calibri" w:cs="Calibri"/>
        </w:rPr>
        <w:t>,</w:t>
      </w:r>
      <w:r w:rsidRPr="00F368A4">
        <w:rPr>
          <w:rFonts w:ascii="Calibri" w:hAnsi="Calibri" w:cs="Calibri"/>
        </w:rPr>
        <w:t xml:space="preserve"> se osserviamo i due </w:t>
      </w:r>
      <w:r w:rsidR="002D1B70" w:rsidRPr="00F368A4">
        <w:rPr>
          <w:rFonts w:ascii="Calibri" w:hAnsi="Calibri" w:cs="Calibri"/>
        </w:rPr>
        <w:t>P</w:t>
      </w:r>
      <w:r w:rsidRPr="00F368A4">
        <w:rPr>
          <w:rFonts w:ascii="Calibri" w:hAnsi="Calibri" w:cs="Calibri"/>
        </w:rPr>
        <w:t xml:space="preserve">aesi protagonisti </w:t>
      </w:r>
      <w:r w:rsidR="00A6171F" w:rsidRPr="00F368A4">
        <w:rPr>
          <w:rFonts w:ascii="Calibri" w:hAnsi="Calibri" w:cs="Calibri"/>
        </w:rPr>
        <w:t xml:space="preserve">vediamo </w:t>
      </w:r>
      <w:r w:rsidR="004F1131" w:rsidRPr="00F368A4">
        <w:rPr>
          <w:rFonts w:ascii="Calibri" w:hAnsi="Calibri" w:cs="Calibri"/>
        </w:rPr>
        <w:t xml:space="preserve">che </w:t>
      </w:r>
      <w:r w:rsidR="006863A7" w:rsidRPr="00F368A4">
        <w:rPr>
          <w:rFonts w:ascii="Calibri" w:hAnsi="Calibri" w:cs="Calibri"/>
        </w:rPr>
        <w:t xml:space="preserve">la Cina </w:t>
      </w:r>
      <w:r w:rsidR="0082428B" w:rsidRPr="00F368A4">
        <w:rPr>
          <w:rFonts w:ascii="Calibri" w:hAnsi="Calibri" w:cs="Calibri"/>
        </w:rPr>
        <w:t>ha una</w:t>
      </w:r>
      <w:r w:rsidR="00050578" w:rsidRPr="00F368A4">
        <w:rPr>
          <w:rFonts w:ascii="Calibri" w:hAnsi="Calibri" w:cs="Calibri"/>
        </w:rPr>
        <w:t xml:space="preserve"> forte</w:t>
      </w:r>
      <w:r w:rsidR="0082428B" w:rsidRPr="00F368A4">
        <w:rPr>
          <w:rFonts w:ascii="Calibri" w:hAnsi="Calibri" w:cs="Calibri"/>
        </w:rPr>
        <w:t xml:space="preserve"> dipendenza </w:t>
      </w:r>
      <w:r w:rsidR="002B3ED3" w:rsidRPr="00F368A4">
        <w:rPr>
          <w:rFonts w:ascii="Calibri" w:hAnsi="Calibri" w:cs="Calibri"/>
        </w:rPr>
        <w:t>dagli Stati Uniti</w:t>
      </w:r>
      <w:r w:rsidR="0004290C" w:rsidRPr="00F368A4">
        <w:rPr>
          <w:rFonts w:ascii="Calibri" w:hAnsi="Calibri" w:cs="Calibri"/>
        </w:rPr>
        <w:t>, evidenziando</w:t>
      </w:r>
      <w:r w:rsidR="006863A7" w:rsidRPr="00F368A4">
        <w:rPr>
          <w:rFonts w:ascii="Calibri" w:hAnsi="Calibri" w:cs="Calibri"/>
        </w:rPr>
        <w:t xml:space="preserve"> una</w:t>
      </w:r>
      <w:r w:rsidR="0082428B" w:rsidRPr="00F368A4">
        <w:rPr>
          <w:rFonts w:ascii="Calibri" w:hAnsi="Calibri" w:cs="Calibri"/>
        </w:rPr>
        <w:t xml:space="preserve"> forte</w:t>
      </w:r>
      <w:r w:rsidR="006863A7" w:rsidRPr="00F368A4">
        <w:rPr>
          <w:rFonts w:ascii="Calibri" w:hAnsi="Calibri" w:cs="Calibri"/>
        </w:rPr>
        <w:t xml:space="preserve"> asimmetria</w:t>
      </w:r>
      <w:r w:rsidR="00204852" w:rsidRPr="00F368A4">
        <w:rPr>
          <w:rFonts w:ascii="Calibri" w:hAnsi="Calibri" w:cs="Calibri"/>
        </w:rPr>
        <w:t xml:space="preserve"> rispetto ad altri </w:t>
      </w:r>
      <w:r w:rsidR="002D1B70" w:rsidRPr="00F368A4">
        <w:rPr>
          <w:rFonts w:ascii="Calibri" w:hAnsi="Calibri" w:cs="Calibri"/>
        </w:rPr>
        <w:t>P</w:t>
      </w:r>
      <w:r w:rsidR="00204852" w:rsidRPr="00F368A4">
        <w:rPr>
          <w:rFonts w:ascii="Calibri" w:hAnsi="Calibri" w:cs="Calibri"/>
        </w:rPr>
        <w:t>aesi</w:t>
      </w:r>
      <w:r w:rsidR="00F53908" w:rsidRPr="00F368A4">
        <w:rPr>
          <w:rFonts w:ascii="Calibri" w:hAnsi="Calibri" w:cs="Calibri"/>
        </w:rPr>
        <w:t xml:space="preserve">. </w:t>
      </w:r>
      <w:r w:rsidR="0004290C" w:rsidRPr="00F368A4">
        <w:rPr>
          <w:rFonts w:ascii="Calibri" w:hAnsi="Calibri" w:cs="Calibri"/>
        </w:rPr>
        <w:t xml:space="preserve">Al contrario, </w:t>
      </w:r>
      <w:r w:rsidR="00F53908" w:rsidRPr="00F368A4">
        <w:rPr>
          <w:rFonts w:ascii="Calibri" w:hAnsi="Calibri" w:cs="Calibri"/>
        </w:rPr>
        <w:t xml:space="preserve">gli Stati Uniti </w:t>
      </w:r>
      <w:r w:rsidR="0004290C" w:rsidRPr="00F368A4">
        <w:rPr>
          <w:rFonts w:ascii="Calibri" w:hAnsi="Calibri" w:cs="Calibri"/>
        </w:rPr>
        <w:t xml:space="preserve">hanno una </w:t>
      </w:r>
      <w:r w:rsidR="005F6B31">
        <w:rPr>
          <w:rFonts w:ascii="Calibri" w:hAnsi="Calibri" w:cs="Calibri"/>
        </w:rPr>
        <w:t>catena del valore</w:t>
      </w:r>
      <w:r w:rsidR="005F6B31" w:rsidRPr="00F368A4">
        <w:rPr>
          <w:rFonts w:ascii="Calibri" w:hAnsi="Calibri" w:cs="Calibri"/>
        </w:rPr>
        <w:t xml:space="preserve"> </w:t>
      </w:r>
      <w:r w:rsidR="00F53908" w:rsidRPr="00F368A4">
        <w:rPr>
          <w:rFonts w:ascii="Calibri" w:hAnsi="Calibri" w:cs="Calibri"/>
        </w:rPr>
        <w:t xml:space="preserve">più frammentata e meno dipendente da un singolo </w:t>
      </w:r>
      <w:r w:rsidR="002D1B70" w:rsidRPr="00F368A4">
        <w:rPr>
          <w:rFonts w:ascii="Calibri" w:hAnsi="Calibri" w:cs="Calibri"/>
        </w:rPr>
        <w:t>P</w:t>
      </w:r>
      <w:r w:rsidR="00F53908" w:rsidRPr="00F368A4">
        <w:rPr>
          <w:rFonts w:ascii="Calibri" w:hAnsi="Calibri" w:cs="Calibri"/>
        </w:rPr>
        <w:t>aese</w:t>
      </w:r>
      <w:r w:rsidR="0004290C" w:rsidRPr="00F368A4">
        <w:rPr>
          <w:rFonts w:ascii="Calibri" w:hAnsi="Calibri" w:cs="Calibri"/>
        </w:rPr>
        <w:t>.</w:t>
      </w:r>
      <w:r w:rsidR="00A32537" w:rsidRPr="00F368A4">
        <w:rPr>
          <w:rFonts w:ascii="Calibri" w:hAnsi="Calibri" w:cs="Calibri"/>
          <w:noProof/>
        </w:rPr>
        <w:t xml:space="preserve"> </w:t>
      </w:r>
    </w:p>
    <w:p w14:paraId="76053258" w14:textId="77777777" w:rsidR="00F368A4" w:rsidRDefault="00F368A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0280BBFC" w14:textId="402208C7" w:rsidR="002D129E" w:rsidRDefault="006D217E" w:rsidP="00F368A4">
      <w:pPr>
        <w:spacing w:after="0" w:line="240" w:lineRule="auto"/>
        <w:contextualSpacing/>
        <w:rPr>
          <w:rFonts w:ascii="Calibri" w:hAnsi="Calibri" w:cs="Calibri"/>
        </w:rPr>
      </w:pPr>
      <w:r w:rsidRPr="00A530CF">
        <w:rPr>
          <w:rFonts w:ascii="Calibri" w:hAnsi="Calibri" w:cs="Calibri"/>
          <w:b/>
          <w:bCs/>
        </w:rPr>
        <w:t>A oggi, g</w:t>
      </w:r>
      <w:r w:rsidR="002D30BF" w:rsidRPr="00A530CF">
        <w:rPr>
          <w:rFonts w:ascii="Calibri" w:hAnsi="Calibri" w:cs="Calibri"/>
          <w:b/>
          <w:bCs/>
        </w:rPr>
        <w:t>li incrementi delle tariffe adottati da</w:t>
      </w:r>
      <w:r w:rsidR="00F53908" w:rsidRPr="00A530CF">
        <w:rPr>
          <w:rFonts w:ascii="Calibri" w:hAnsi="Calibri" w:cs="Calibri"/>
          <w:b/>
          <w:bCs/>
        </w:rPr>
        <w:t xml:space="preserve"> Biden non dovrebb</w:t>
      </w:r>
      <w:r w:rsidR="00AD44C6" w:rsidRPr="00A530CF">
        <w:rPr>
          <w:rFonts w:ascii="Calibri" w:hAnsi="Calibri" w:cs="Calibri"/>
          <w:b/>
          <w:bCs/>
        </w:rPr>
        <w:t xml:space="preserve">ero </w:t>
      </w:r>
      <w:r w:rsidR="00B47DD4" w:rsidRPr="00A530CF">
        <w:rPr>
          <w:rFonts w:ascii="Calibri" w:hAnsi="Calibri" w:cs="Calibri"/>
          <w:b/>
          <w:bCs/>
        </w:rPr>
        <w:t>avere un impatto significativo sul</w:t>
      </w:r>
      <w:r w:rsidR="00AD44C6" w:rsidRPr="00A530CF">
        <w:rPr>
          <w:rFonts w:ascii="Calibri" w:hAnsi="Calibri" w:cs="Calibri"/>
          <w:b/>
          <w:bCs/>
        </w:rPr>
        <w:t xml:space="preserve">l’industria cinese </w:t>
      </w:r>
      <w:r w:rsidRPr="00A530CF">
        <w:rPr>
          <w:rFonts w:ascii="Calibri" w:hAnsi="Calibri" w:cs="Calibri"/>
          <w:b/>
          <w:bCs/>
        </w:rPr>
        <w:t xml:space="preserve">considerando </w:t>
      </w:r>
      <w:r w:rsidR="009F3D0C" w:rsidRPr="00A530CF">
        <w:rPr>
          <w:rFonts w:ascii="Calibri" w:hAnsi="Calibri" w:cs="Calibri"/>
          <w:b/>
          <w:bCs/>
        </w:rPr>
        <w:t xml:space="preserve">i </w:t>
      </w:r>
      <w:r w:rsidR="00AD44C6" w:rsidRPr="00A530CF">
        <w:rPr>
          <w:rFonts w:ascii="Calibri" w:hAnsi="Calibri" w:cs="Calibri"/>
          <w:b/>
          <w:bCs/>
        </w:rPr>
        <w:t xml:space="preserve">limitati </w:t>
      </w:r>
      <w:r w:rsidR="009F3D0C" w:rsidRPr="00A530CF">
        <w:rPr>
          <w:rFonts w:ascii="Calibri" w:hAnsi="Calibri" w:cs="Calibri"/>
          <w:b/>
          <w:bCs/>
        </w:rPr>
        <w:t xml:space="preserve">volumi di </w:t>
      </w:r>
      <w:r w:rsidR="00E4057C" w:rsidRPr="00A530CF">
        <w:rPr>
          <w:rFonts w:ascii="Calibri" w:hAnsi="Calibri" w:cs="Calibri"/>
          <w:b/>
          <w:bCs/>
        </w:rPr>
        <w:t>e</w:t>
      </w:r>
      <w:r w:rsidR="009F3D0C" w:rsidRPr="00A530CF">
        <w:rPr>
          <w:rFonts w:ascii="Calibri" w:hAnsi="Calibri" w:cs="Calibri"/>
          <w:b/>
          <w:bCs/>
        </w:rPr>
        <w:t>s</w:t>
      </w:r>
      <w:r w:rsidR="00E4057C" w:rsidRPr="00A530CF">
        <w:rPr>
          <w:rFonts w:ascii="Calibri" w:hAnsi="Calibri" w:cs="Calibri"/>
          <w:b/>
          <w:bCs/>
        </w:rPr>
        <w:t>port</w:t>
      </w:r>
      <w:r w:rsidR="009F3D0C" w:rsidRPr="00A530CF">
        <w:rPr>
          <w:rFonts w:ascii="Calibri" w:hAnsi="Calibri" w:cs="Calibri"/>
          <w:b/>
          <w:bCs/>
        </w:rPr>
        <w:t>azione</w:t>
      </w:r>
      <w:r w:rsidR="00E4057C" w:rsidRPr="00A530CF">
        <w:rPr>
          <w:rFonts w:ascii="Calibri" w:hAnsi="Calibri" w:cs="Calibri"/>
          <w:b/>
          <w:bCs/>
        </w:rPr>
        <w:t xml:space="preserve"> di alcuni settori </w:t>
      </w:r>
      <w:r w:rsidR="009F3D0C" w:rsidRPr="00A530CF">
        <w:rPr>
          <w:rFonts w:ascii="Calibri" w:hAnsi="Calibri" w:cs="Calibri"/>
          <w:b/>
          <w:bCs/>
        </w:rPr>
        <w:t>bersaglio</w:t>
      </w:r>
      <w:r w:rsidR="008E7993" w:rsidRPr="00A530CF">
        <w:rPr>
          <w:rFonts w:ascii="Calibri" w:hAnsi="Calibri" w:cs="Calibri"/>
          <w:b/>
          <w:bCs/>
        </w:rPr>
        <w:t>.</w:t>
      </w:r>
      <w:r w:rsidR="008E7993" w:rsidRPr="00F368A4">
        <w:rPr>
          <w:rFonts w:ascii="Calibri" w:hAnsi="Calibri" w:cs="Calibri"/>
        </w:rPr>
        <w:t xml:space="preserve"> Tra questi</w:t>
      </w:r>
      <w:r w:rsidR="005604D6" w:rsidRPr="00F368A4">
        <w:rPr>
          <w:rFonts w:ascii="Calibri" w:hAnsi="Calibri" w:cs="Calibri"/>
        </w:rPr>
        <w:t xml:space="preserve"> </w:t>
      </w:r>
      <w:r w:rsidR="000F7717" w:rsidRPr="00F368A4">
        <w:rPr>
          <w:rFonts w:ascii="Calibri" w:hAnsi="Calibri" w:cs="Calibri"/>
        </w:rPr>
        <w:t>osserviamo che, ad esempio, le esportazioni de</w:t>
      </w:r>
      <w:r w:rsidR="004D3FAA" w:rsidRPr="00F368A4">
        <w:rPr>
          <w:rFonts w:ascii="Calibri" w:hAnsi="Calibri" w:cs="Calibri"/>
        </w:rPr>
        <w:t xml:space="preserve">i </w:t>
      </w:r>
      <w:r w:rsidR="004D3FAA" w:rsidRPr="00A530CF">
        <w:rPr>
          <w:rFonts w:ascii="Calibri" w:hAnsi="Calibri" w:cs="Calibri"/>
          <w:b/>
          <w:bCs/>
        </w:rPr>
        <w:t>veicoli elettrici</w:t>
      </w:r>
      <w:r w:rsidR="00037455" w:rsidRPr="00F368A4">
        <w:rPr>
          <w:rFonts w:ascii="Calibri" w:hAnsi="Calibri" w:cs="Calibri"/>
        </w:rPr>
        <w:t xml:space="preserve"> dalla Cina verso gli Usa sono </w:t>
      </w:r>
      <w:r w:rsidR="00074725" w:rsidRPr="00F368A4">
        <w:rPr>
          <w:rFonts w:ascii="Calibri" w:hAnsi="Calibri" w:cs="Calibri"/>
        </w:rPr>
        <w:t xml:space="preserve">irrisorie; del totale dei 427 miliardi </w:t>
      </w:r>
      <w:r w:rsidR="005F6B31">
        <w:rPr>
          <w:rFonts w:ascii="Calibri" w:hAnsi="Calibri" w:cs="Calibri"/>
        </w:rPr>
        <w:t xml:space="preserve">di dollari </w:t>
      </w:r>
      <w:r w:rsidR="00074725" w:rsidRPr="00F368A4">
        <w:rPr>
          <w:rFonts w:ascii="Calibri" w:hAnsi="Calibri" w:cs="Calibri"/>
        </w:rPr>
        <w:t xml:space="preserve">di beni importati dalla Cina negli USA nel 2023, solo 3 miliardi sono </w:t>
      </w:r>
      <w:r w:rsidR="00074725" w:rsidRPr="00A530CF">
        <w:rPr>
          <w:rFonts w:ascii="Calibri" w:hAnsi="Calibri" w:cs="Calibri"/>
          <w:b/>
          <w:bCs/>
        </w:rPr>
        <w:t>semiconduttori</w:t>
      </w:r>
      <w:r w:rsidR="00B0624A" w:rsidRPr="00F368A4">
        <w:rPr>
          <w:rFonts w:ascii="Calibri" w:hAnsi="Calibri" w:cs="Calibri"/>
        </w:rPr>
        <w:t>.</w:t>
      </w:r>
      <w:r w:rsidR="006E38EE" w:rsidRPr="00F368A4">
        <w:rPr>
          <w:rFonts w:ascii="Calibri" w:hAnsi="Calibri" w:cs="Calibri"/>
        </w:rPr>
        <w:t xml:space="preserve"> Il numero rispetto al totale dei semiconduttori importati (73 miliardi) e più in generale del TAM dell’industria globale (500+ miliardi)</w:t>
      </w:r>
      <w:r w:rsidR="007302A9" w:rsidRPr="00F368A4">
        <w:rPr>
          <w:rFonts w:ascii="Calibri" w:hAnsi="Calibri" w:cs="Calibri"/>
        </w:rPr>
        <w:t xml:space="preserve"> è piuttosto marginale.</w:t>
      </w:r>
    </w:p>
    <w:p w14:paraId="26BFC769" w14:textId="77777777" w:rsidR="005F6B31" w:rsidRPr="00F368A4" w:rsidRDefault="005F6B31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407A94A9" w14:textId="5FFC6102" w:rsidR="00FE5107" w:rsidRPr="00A530CF" w:rsidRDefault="00672A72" w:rsidP="00F368A4">
      <w:p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A530CF">
        <w:rPr>
          <w:rFonts w:ascii="Calibri" w:hAnsi="Calibri" w:cs="Calibri"/>
          <w:b/>
          <w:bCs/>
        </w:rPr>
        <w:t>Tuttavia</w:t>
      </w:r>
      <w:r w:rsidR="007302A9" w:rsidRPr="00A530CF">
        <w:rPr>
          <w:rFonts w:ascii="Calibri" w:hAnsi="Calibri" w:cs="Calibri"/>
          <w:b/>
          <w:bCs/>
        </w:rPr>
        <w:t>, esiste</w:t>
      </w:r>
      <w:r w:rsidRPr="00A530CF">
        <w:rPr>
          <w:rFonts w:ascii="Calibri" w:hAnsi="Calibri" w:cs="Calibri"/>
          <w:b/>
          <w:bCs/>
        </w:rPr>
        <w:t xml:space="preserve"> un rischio legato </w:t>
      </w:r>
      <w:r w:rsidR="007302A9" w:rsidRPr="00A530CF">
        <w:rPr>
          <w:rFonts w:ascii="Calibri" w:hAnsi="Calibri" w:cs="Calibri"/>
          <w:b/>
          <w:bCs/>
        </w:rPr>
        <w:t>al</w:t>
      </w:r>
      <w:r w:rsidR="00F80DDC" w:rsidRPr="00A530CF">
        <w:rPr>
          <w:rFonts w:ascii="Calibri" w:hAnsi="Calibri" w:cs="Calibri"/>
          <w:b/>
          <w:bCs/>
        </w:rPr>
        <w:t>l’impatto che le contro</w:t>
      </w:r>
      <w:r w:rsidR="009D4B84" w:rsidRPr="00A530CF">
        <w:rPr>
          <w:rFonts w:ascii="Calibri" w:hAnsi="Calibri" w:cs="Calibri"/>
          <w:b/>
          <w:bCs/>
        </w:rPr>
        <w:t>-</w:t>
      </w:r>
      <w:r w:rsidR="00F80DDC" w:rsidRPr="00A530CF">
        <w:rPr>
          <w:rFonts w:ascii="Calibri" w:hAnsi="Calibri" w:cs="Calibri"/>
          <w:b/>
          <w:bCs/>
        </w:rPr>
        <w:t xml:space="preserve">misure cinesi potrebbero avere su </w:t>
      </w:r>
      <w:r w:rsidR="005F6B31" w:rsidRPr="00A530CF">
        <w:rPr>
          <w:rFonts w:ascii="Calibri" w:hAnsi="Calibri" w:cs="Calibri"/>
          <w:b/>
          <w:bCs/>
        </w:rPr>
        <w:t>s</w:t>
      </w:r>
      <w:r w:rsidR="00F80DDC" w:rsidRPr="00A530CF">
        <w:rPr>
          <w:rFonts w:ascii="Calibri" w:hAnsi="Calibri" w:cs="Calibri"/>
          <w:b/>
          <w:bCs/>
        </w:rPr>
        <w:t xml:space="preserve">tati chiave </w:t>
      </w:r>
      <w:r w:rsidR="009D4B84" w:rsidRPr="00A530CF">
        <w:rPr>
          <w:rFonts w:ascii="Calibri" w:hAnsi="Calibri" w:cs="Calibri"/>
          <w:b/>
          <w:bCs/>
        </w:rPr>
        <w:t>in ottica elettor</w:t>
      </w:r>
      <w:r w:rsidR="005A2650" w:rsidRPr="00A530CF">
        <w:rPr>
          <w:rFonts w:ascii="Calibri" w:hAnsi="Calibri" w:cs="Calibri"/>
          <w:b/>
          <w:bCs/>
        </w:rPr>
        <w:t>ale</w:t>
      </w:r>
      <w:r w:rsidR="00F34008" w:rsidRPr="00A530CF">
        <w:rPr>
          <w:rFonts w:ascii="Calibri" w:hAnsi="Calibri" w:cs="Calibri"/>
          <w:b/>
          <w:bCs/>
        </w:rPr>
        <w:t>.</w:t>
      </w:r>
      <w:r w:rsidR="005A2650" w:rsidRPr="00F368A4">
        <w:rPr>
          <w:rFonts w:ascii="Calibri" w:hAnsi="Calibri" w:cs="Calibri"/>
        </w:rPr>
        <w:t xml:space="preserve"> I</w:t>
      </w:r>
      <w:r w:rsidR="003055C2" w:rsidRPr="00F368A4">
        <w:rPr>
          <w:rFonts w:ascii="Calibri" w:hAnsi="Calibri" w:cs="Calibri"/>
        </w:rPr>
        <w:t>l</w:t>
      </w:r>
      <w:r w:rsidR="00F34008" w:rsidRPr="00F368A4">
        <w:rPr>
          <w:rFonts w:ascii="Calibri" w:hAnsi="Calibri" w:cs="Calibri"/>
        </w:rPr>
        <w:t xml:space="preserve"> Global Trade </w:t>
      </w:r>
      <w:proofErr w:type="spellStart"/>
      <w:r w:rsidR="00F34008" w:rsidRPr="00F368A4">
        <w:rPr>
          <w:rFonts w:ascii="Calibri" w:hAnsi="Calibri" w:cs="Calibri"/>
        </w:rPr>
        <w:t>Alert</w:t>
      </w:r>
      <w:proofErr w:type="spellEnd"/>
      <w:r w:rsidR="00F34008" w:rsidRPr="00F368A4">
        <w:rPr>
          <w:rFonts w:ascii="Calibri" w:hAnsi="Calibri" w:cs="Calibri"/>
        </w:rPr>
        <w:t xml:space="preserve"> ha valutato che </w:t>
      </w:r>
      <w:r w:rsidR="00637A17" w:rsidRPr="00F368A4">
        <w:rPr>
          <w:rFonts w:ascii="Calibri" w:hAnsi="Calibri" w:cs="Calibri"/>
        </w:rPr>
        <w:t xml:space="preserve">tra gli Stati chiave per le elezioni </w:t>
      </w:r>
      <w:r w:rsidR="003055C2" w:rsidRPr="00F368A4">
        <w:rPr>
          <w:rFonts w:ascii="Calibri" w:hAnsi="Calibri" w:cs="Calibri"/>
        </w:rPr>
        <w:t xml:space="preserve">del </w:t>
      </w:r>
      <w:r w:rsidR="00637A17" w:rsidRPr="00F368A4">
        <w:rPr>
          <w:rFonts w:ascii="Calibri" w:hAnsi="Calibri" w:cs="Calibri"/>
        </w:rPr>
        <w:t>2024</w:t>
      </w:r>
      <w:r w:rsidR="00BC65A6" w:rsidRPr="00F368A4">
        <w:rPr>
          <w:rFonts w:ascii="Calibri" w:hAnsi="Calibri" w:cs="Calibri"/>
        </w:rPr>
        <w:t xml:space="preserve"> - </w:t>
      </w:r>
      <w:r w:rsidR="00F34008" w:rsidRPr="00F368A4">
        <w:rPr>
          <w:rFonts w:ascii="Calibri" w:hAnsi="Calibri" w:cs="Calibri"/>
        </w:rPr>
        <w:t>Georgia, Arizona</w:t>
      </w:r>
      <w:r w:rsidR="00E5382C" w:rsidRPr="00F368A4">
        <w:rPr>
          <w:rFonts w:ascii="Calibri" w:hAnsi="Calibri" w:cs="Calibri"/>
        </w:rPr>
        <w:t>, Wisconsin, Pennsylvania, Nevada, Michigan</w:t>
      </w:r>
      <w:r w:rsidR="00C16500" w:rsidRPr="00F368A4">
        <w:rPr>
          <w:rFonts w:ascii="Calibri" w:hAnsi="Calibri" w:cs="Calibri"/>
        </w:rPr>
        <w:t>, N</w:t>
      </w:r>
      <w:r w:rsidR="005F6B31">
        <w:rPr>
          <w:rFonts w:ascii="Calibri" w:hAnsi="Calibri" w:cs="Calibri"/>
        </w:rPr>
        <w:t>orth</w:t>
      </w:r>
      <w:r w:rsidR="00C16500" w:rsidRPr="00F368A4">
        <w:rPr>
          <w:rFonts w:ascii="Calibri" w:hAnsi="Calibri" w:cs="Calibri"/>
        </w:rPr>
        <w:t xml:space="preserve"> Carolina</w:t>
      </w:r>
      <w:r w:rsidR="00BC65A6" w:rsidRPr="00F368A4">
        <w:rPr>
          <w:rFonts w:ascii="Calibri" w:hAnsi="Calibri" w:cs="Calibri"/>
        </w:rPr>
        <w:t xml:space="preserve"> -</w:t>
      </w:r>
      <w:r w:rsidR="00C16500" w:rsidRPr="00F368A4">
        <w:rPr>
          <w:rFonts w:ascii="Calibri" w:hAnsi="Calibri" w:cs="Calibri"/>
        </w:rPr>
        <w:t xml:space="preserve"> ci sono </w:t>
      </w:r>
      <w:r w:rsidR="005A29E6" w:rsidRPr="00F368A4">
        <w:rPr>
          <w:rFonts w:ascii="Calibri" w:hAnsi="Calibri" w:cs="Calibri"/>
        </w:rPr>
        <w:t xml:space="preserve">circa </w:t>
      </w:r>
      <w:r w:rsidR="00637A17" w:rsidRPr="00F368A4">
        <w:rPr>
          <w:rFonts w:ascii="Calibri" w:hAnsi="Calibri" w:cs="Calibri"/>
        </w:rPr>
        <w:t>60</w:t>
      </w:r>
      <w:r w:rsidR="005F6B31">
        <w:rPr>
          <w:rFonts w:ascii="Calibri" w:hAnsi="Calibri" w:cs="Calibri"/>
        </w:rPr>
        <w:t>mila</w:t>
      </w:r>
      <w:r w:rsidR="00637A17" w:rsidRPr="00F368A4">
        <w:rPr>
          <w:rFonts w:ascii="Calibri" w:hAnsi="Calibri" w:cs="Calibri"/>
        </w:rPr>
        <w:t xml:space="preserve"> posti di lavoro </w:t>
      </w:r>
      <w:r w:rsidR="003127D7" w:rsidRPr="00F368A4">
        <w:rPr>
          <w:rFonts w:ascii="Calibri" w:hAnsi="Calibri" w:cs="Calibri"/>
        </w:rPr>
        <w:t xml:space="preserve">direttamente </w:t>
      </w:r>
      <w:r w:rsidR="00637A17" w:rsidRPr="00F368A4">
        <w:rPr>
          <w:rFonts w:ascii="Calibri" w:hAnsi="Calibri" w:cs="Calibri"/>
        </w:rPr>
        <w:t xml:space="preserve">collegati </w:t>
      </w:r>
      <w:r w:rsidR="00EA5644" w:rsidRPr="00F368A4">
        <w:rPr>
          <w:rFonts w:ascii="Calibri" w:hAnsi="Calibri" w:cs="Calibri"/>
        </w:rPr>
        <w:t>alle esportazioni verso la Cin</w:t>
      </w:r>
      <w:r w:rsidR="0049794D" w:rsidRPr="00F368A4">
        <w:rPr>
          <w:rFonts w:ascii="Calibri" w:hAnsi="Calibri" w:cs="Calibri"/>
        </w:rPr>
        <w:t>a</w:t>
      </w:r>
      <w:r w:rsidR="003127D7" w:rsidRPr="00F368A4">
        <w:rPr>
          <w:rFonts w:ascii="Calibri" w:hAnsi="Calibri" w:cs="Calibri"/>
        </w:rPr>
        <w:t>.</w:t>
      </w:r>
      <w:r w:rsidR="0049794D" w:rsidRPr="00F368A4">
        <w:rPr>
          <w:rFonts w:ascii="Calibri" w:hAnsi="Calibri" w:cs="Calibri"/>
        </w:rPr>
        <w:t xml:space="preserve"> </w:t>
      </w:r>
      <w:r w:rsidR="005F6B31" w:rsidRPr="00A530CF">
        <w:rPr>
          <w:rFonts w:ascii="Calibri" w:hAnsi="Calibri" w:cs="Calibri"/>
          <w:b/>
          <w:bCs/>
        </w:rPr>
        <w:t>I</w:t>
      </w:r>
      <w:r w:rsidR="002F5917" w:rsidRPr="00A530CF">
        <w:rPr>
          <w:rFonts w:ascii="Calibri" w:hAnsi="Calibri" w:cs="Calibri"/>
          <w:b/>
          <w:bCs/>
        </w:rPr>
        <w:t xml:space="preserve">n Georgia, </w:t>
      </w:r>
      <w:r w:rsidR="005F6B31" w:rsidRPr="00A530CF">
        <w:rPr>
          <w:rFonts w:ascii="Calibri" w:hAnsi="Calibri" w:cs="Calibri"/>
          <w:b/>
          <w:bCs/>
        </w:rPr>
        <w:t xml:space="preserve">ad esempio, </w:t>
      </w:r>
      <w:r w:rsidR="002F5917" w:rsidRPr="00A530CF">
        <w:rPr>
          <w:rFonts w:ascii="Calibri" w:hAnsi="Calibri" w:cs="Calibri"/>
          <w:b/>
          <w:bCs/>
        </w:rPr>
        <w:t>il numero di lavoratori collegati alle esportazioni verso la Cina è maggiore della differenza di voti con cui Biden ha vinto le elezioni del 2020 su Trump.</w:t>
      </w:r>
    </w:p>
    <w:p w14:paraId="7DFE7260" w14:textId="77777777" w:rsidR="005F6B31" w:rsidRPr="00F368A4" w:rsidRDefault="005F6B31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28C51FF5" w14:textId="70226729" w:rsidR="00494976" w:rsidRPr="00F368A4" w:rsidRDefault="00D531D0" w:rsidP="00F368A4">
      <w:pPr>
        <w:spacing w:after="0" w:line="240" w:lineRule="auto"/>
        <w:contextualSpacing/>
        <w:rPr>
          <w:rFonts w:ascii="Calibri" w:hAnsi="Calibri" w:cs="Calibri"/>
        </w:rPr>
      </w:pPr>
      <w:r w:rsidRPr="00F368A4">
        <w:rPr>
          <w:rFonts w:ascii="Calibri" w:hAnsi="Calibri" w:cs="Calibri"/>
        </w:rPr>
        <w:t xml:space="preserve">In un momento </w:t>
      </w:r>
      <w:r w:rsidR="00C75E7C" w:rsidRPr="00F368A4">
        <w:rPr>
          <w:rFonts w:ascii="Calibri" w:hAnsi="Calibri" w:cs="Calibri"/>
        </w:rPr>
        <w:t>di</w:t>
      </w:r>
      <w:r w:rsidRPr="00F368A4">
        <w:rPr>
          <w:rFonts w:ascii="Calibri" w:hAnsi="Calibri" w:cs="Calibri"/>
        </w:rPr>
        <w:t xml:space="preserve"> incertezza</w:t>
      </w:r>
      <w:r w:rsidR="00C75E7C" w:rsidRPr="00F368A4">
        <w:rPr>
          <w:rFonts w:ascii="Calibri" w:hAnsi="Calibri" w:cs="Calibri"/>
        </w:rPr>
        <w:t xml:space="preserve">, dove </w:t>
      </w:r>
      <w:r w:rsidRPr="00F368A4">
        <w:rPr>
          <w:rFonts w:ascii="Calibri" w:hAnsi="Calibri" w:cs="Calibri"/>
        </w:rPr>
        <w:t xml:space="preserve">le conseguenze delle tariffe sono ancora da </w:t>
      </w:r>
      <w:r w:rsidR="008C489F" w:rsidRPr="00F368A4">
        <w:rPr>
          <w:rFonts w:ascii="Calibri" w:hAnsi="Calibri" w:cs="Calibri"/>
        </w:rPr>
        <w:t>osservar</w:t>
      </w:r>
      <w:r w:rsidR="0006317B" w:rsidRPr="00F368A4">
        <w:rPr>
          <w:rFonts w:ascii="Calibri" w:hAnsi="Calibri" w:cs="Calibri"/>
        </w:rPr>
        <w:t>e</w:t>
      </w:r>
      <w:r w:rsidR="00C75E7C" w:rsidRPr="00F368A4">
        <w:rPr>
          <w:rFonts w:ascii="Calibri" w:hAnsi="Calibri" w:cs="Calibri"/>
        </w:rPr>
        <w:t xml:space="preserve">, </w:t>
      </w:r>
      <w:r w:rsidR="00C75E7C" w:rsidRPr="00A530CF">
        <w:rPr>
          <w:rFonts w:ascii="Calibri" w:hAnsi="Calibri" w:cs="Calibri"/>
          <w:b/>
          <w:bCs/>
        </w:rPr>
        <w:t xml:space="preserve">riteniamo </w:t>
      </w:r>
      <w:r w:rsidR="0006317B" w:rsidRPr="00A530CF">
        <w:rPr>
          <w:rFonts w:ascii="Calibri" w:hAnsi="Calibri" w:cs="Calibri"/>
          <w:b/>
          <w:bCs/>
        </w:rPr>
        <w:t xml:space="preserve">che </w:t>
      </w:r>
      <w:r w:rsidR="008D280B" w:rsidRPr="00A530CF">
        <w:rPr>
          <w:rFonts w:ascii="Calibri" w:hAnsi="Calibri" w:cs="Calibri"/>
          <w:b/>
          <w:bCs/>
        </w:rPr>
        <w:t xml:space="preserve">le recenti azioni del governo americano siano più una mossa politica che una </w:t>
      </w:r>
      <w:r w:rsidR="00CE7056" w:rsidRPr="00A530CF">
        <w:rPr>
          <w:rFonts w:ascii="Calibri" w:hAnsi="Calibri" w:cs="Calibri"/>
          <w:b/>
          <w:bCs/>
        </w:rPr>
        <w:t xml:space="preserve">significativa </w:t>
      </w:r>
      <w:r w:rsidR="008D280B" w:rsidRPr="00A530CF">
        <w:rPr>
          <w:rFonts w:ascii="Calibri" w:hAnsi="Calibri" w:cs="Calibri"/>
          <w:b/>
          <w:bCs/>
        </w:rPr>
        <w:t>ritorsione verso la Cina</w:t>
      </w:r>
      <w:r w:rsidR="00CE7056" w:rsidRPr="00A530CF">
        <w:rPr>
          <w:rFonts w:ascii="Calibri" w:hAnsi="Calibri" w:cs="Calibri"/>
          <w:b/>
          <w:bCs/>
        </w:rPr>
        <w:t xml:space="preserve">, e che i potenziali effetti </w:t>
      </w:r>
      <w:r w:rsidR="00801657" w:rsidRPr="00A530CF">
        <w:rPr>
          <w:rFonts w:ascii="Calibri" w:hAnsi="Calibri" w:cs="Calibri"/>
          <w:b/>
          <w:bCs/>
        </w:rPr>
        <w:t>di spillover</w:t>
      </w:r>
      <w:r w:rsidR="00CE7056" w:rsidRPr="00A530CF">
        <w:rPr>
          <w:rFonts w:ascii="Calibri" w:hAnsi="Calibri" w:cs="Calibri"/>
          <w:b/>
          <w:bCs/>
        </w:rPr>
        <w:t xml:space="preserve"> possano essere limitati</w:t>
      </w:r>
      <w:r w:rsidR="00CE7056" w:rsidRPr="00F368A4">
        <w:rPr>
          <w:rFonts w:ascii="Calibri" w:hAnsi="Calibri" w:cs="Calibri"/>
        </w:rPr>
        <w:t xml:space="preserve">. </w:t>
      </w:r>
      <w:r w:rsidR="00801657" w:rsidRPr="00F368A4">
        <w:rPr>
          <w:rFonts w:ascii="Calibri" w:hAnsi="Calibri" w:cs="Calibri"/>
        </w:rPr>
        <w:t>Inoltre</w:t>
      </w:r>
      <w:r w:rsidR="005F6B31">
        <w:rPr>
          <w:rFonts w:ascii="Calibri" w:hAnsi="Calibri" w:cs="Calibri"/>
        </w:rPr>
        <w:t>,</w:t>
      </w:r>
      <w:r w:rsidR="00801657" w:rsidRPr="00F368A4">
        <w:rPr>
          <w:rFonts w:ascii="Calibri" w:hAnsi="Calibri" w:cs="Calibri"/>
        </w:rPr>
        <w:t xml:space="preserve"> come visto precedentemente</w:t>
      </w:r>
      <w:r w:rsidR="005F6B31">
        <w:rPr>
          <w:rFonts w:ascii="Calibri" w:hAnsi="Calibri" w:cs="Calibri"/>
        </w:rPr>
        <w:t>,</w:t>
      </w:r>
      <w:r w:rsidR="00801657" w:rsidRPr="00F368A4">
        <w:rPr>
          <w:rFonts w:ascii="Calibri" w:hAnsi="Calibri" w:cs="Calibri"/>
        </w:rPr>
        <w:t xml:space="preserve"> </w:t>
      </w:r>
      <w:r w:rsidR="0017472E" w:rsidRPr="00F368A4">
        <w:rPr>
          <w:rFonts w:ascii="Calibri" w:hAnsi="Calibri" w:cs="Calibri"/>
        </w:rPr>
        <w:t xml:space="preserve">la dipendenza degli Stati Uniti dalla Cina è molto minore rispetto alla dipendenza della Cina dagli Stati Uniti. Pertanto, non ci aspettiamo particolari ritorsioni da parte della Cina </w:t>
      </w:r>
      <w:r w:rsidR="003F6699">
        <w:rPr>
          <w:rFonts w:ascii="Calibri" w:hAnsi="Calibri" w:cs="Calibri"/>
        </w:rPr>
        <w:t>nonostante</w:t>
      </w:r>
      <w:r w:rsidR="003F6699" w:rsidRPr="00F368A4">
        <w:rPr>
          <w:rFonts w:ascii="Calibri" w:hAnsi="Calibri" w:cs="Calibri"/>
        </w:rPr>
        <w:t xml:space="preserve"> </w:t>
      </w:r>
      <w:r w:rsidR="0017472E" w:rsidRPr="00F368A4">
        <w:rPr>
          <w:rFonts w:ascii="Calibri" w:hAnsi="Calibri" w:cs="Calibri"/>
        </w:rPr>
        <w:t>uno scenario geopolitico che rimane comunque teso</w:t>
      </w:r>
      <w:r w:rsidR="00DC3BDA" w:rsidRPr="00F368A4">
        <w:rPr>
          <w:rFonts w:ascii="Calibri" w:hAnsi="Calibri" w:cs="Calibri"/>
        </w:rPr>
        <w:t>.</w:t>
      </w:r>
    </w:p>
    <w:p w14:paraId="2E41054A" w14:textId="77777777" w:rsidR="003130D4" w:rsidRDefault="003130D4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7046114F" w14:textId="0FB9A1A0" w:rsidR="00D531D0" w:rsidRPr="00F368A4" w:rsidRDefault="00814166" w:rsidP="00F368A4">
      <w:pPr>
        <w:spacing w:after="0" w:line="240" w:lineRule="auto"/>
        <w:contextualSpacing/>
        <w:rPr>
          <w:rFonts w:ascii="Calibri" w:hAnsi="Calibri" w:cs="Calibri"/>
        </w:rPr>
      </w:pPr>
      <w:r w:rsidRPr="00F368A4">
        <w:rPr>
          <w:rFonts w:ascii="Calibri" w:hAnsi="Calibri" w:cs="Calibri"/>
        </w:rPr>
        <w:t>Per quanto ri</w:t>
      </w:r>
      <w:r w:rsidR="00470F32" w:rsidRPr="00F368A4">
        <w:rPr>
          <w:rFonts w:ascii="Calibri" w:hAnsi="Calibri" w:cs="Calibri"/>
        </w:rPr>
        <w:t>guarda la scelta delle società</w:t>
      </w:r>
      <w:r w:rsidR="00A3398C" w:rsidRPr="00F368A4">
        <w:rPr>
          <w:rFonts w:ascii="Calibri" w:hAnsi="Calibri" w:cs="Calibri"/>
        </w:rPr>
        <w:t xml:space="preserve"> su cui investire</w:t>
      </w:r>
      <w:r w:rsidR="00470F32" w:rsidRPr="00F368A4">
        <w:rPr>
          <w:rFonts w:ascii="Calibri" w:hAnsi="Calibri" w:cs="Calibri"/>
        </w:rPr>
        <w:t xml:space="preserve"> rimane fondamentale analizzare la supply chain</w:t>
      </w:r>
      <w:r w:rsidR="00B76216" w:rsidRPr="00F368A4">
        <w:rPr>
          <w:rFonts w:ascii="Calibri" w:hAnsi="Calibri" w:cs="Calibri"/>
        </w:rPr>
        <w:t xml:space="preserve"> e i mercati di sbocco per capire come e quali possibili impatti possano </w:t>
      </w:r>
      <w:r w:rsidR="00AC72B4" w:rsidRPr="00F368A4">
        <w:rPr>
          <w:rFonts w:ascii="Calibri" w:hAnsi="Calibri" w:cs="Calibri"/>
        </w:rPr>
        <w:t>verificarsi</w:t>
      </w:r>
      <w:r w:rsidR="00A3398C" w:rsidRPr="00F368A4">
        <w:rPr>
          <w:rFonts w:ascii="Calibri" w:hAnsi="Calibri" w:cs="Calibri"/>
        </w:rPr>
        <w:t xml:space="preserve">. </w:t>
      </w:r>
      <w:r w:rsidR="00A3398C" w:rsidRPr="00A530CF">
        <w:rPr>
          <w:rFonts w:ascii="Calibri" w:hAnsi="Calibri" w:cs="Calibri"/>
          <w:b/>
          <w:bCs/>
        </w:rPr>
        <w:t>P</w:t>
      </w:r>
      <w:r w:rsidR="00150601" w:rsidRPr="00A530CF">
        <w:rPr>
          <w:rFonts w:ascii="Calibri" w:hAnsi="Calibri" w:cs="Calibri"/>
          <w:b/>
          <w:bCs/>
        </w:rPr>
        <w:t xml:space="preserve">referiamo società con </w:t>
      </w:r>
      <w:r w:rsidR="008C3232" w:rsidRPr="00A530CF">
        <w:rPr>
          <w:rFonts w:ascii="Calibri" w:hAnsi="Calibri" w:cs="Calibri"/>
          <w:b/>
          <w:bCs/>
        </w:rPr>
        <w:t xml:space="preserve">impianti produttivi </w:t>
      </w:r>
      <w:r w:rsidR="00B5764B" w:rsidRPr="00A530CF">
        <w:rPr>
          <w:rFonts w:ascii="Calibri" w:hAnsi="Calibri" w:cs="Calibri"/>
          <w:b/>
          <w:bCs/>
        </w:rPr>
        <w:t>nei</w:t>
      </w:r>
      <w:r w:rsidR="002E0AE8" w:rsidRPr="00A530CF">
        <w:rPr>
          <w:rFonts w:ascii="Calibri" w:hAnsi="Calibri" w:cs="Calibri"/>
          <w:b/>
          <w:bCs/>
        </w:rPr>
        <w:t xml:space="preserve"> territori di consumo, che siano </w:t>
      </w:r>
      <w:r w:rsidR="00B436A5" w:rsidRPr="00A530CF">
        <w:rPr>
          <w:rFonts w:ascii="Calibri" w:hAnsi="Calibri" w:cs="Calibri"/>
          <w:b/>
          <w:bCs/>
        </w:rPr>
        <w:t xml:space="preserve">quindi </w:t>
      </w:r>
      <w:r w:rsidR="002E0AE8" w:rsidRPr="00A530CF">
        <w:rPr>
          <w:rFonts w:ascii="Calibri" w:hAnsi="Calibri" w:cs="Calibri"/>
          <w:b/>
          <w:bCs/>
        </w:rPr>
        <w:t>in</w:t>
      </w:r>
      <w:r w:rsidR="00B436A5" w:rsidRPr="00A530CF">
        <w:rPr>
          <w:rFonts w:ascii="Calibri" w:hAnsi="Calibri" w:cs="Calibri"/>
          <w:b/>
          <w:bCs/>
        </w:rPr>
        <w:t xml:space="preserve"> uno</w:t>
      </w:r>
      <w:r w:rsidR="002E0AE8" w:rsidRPr="00A530CF">
        <w:rPr>
          <w:rFonts w:ascii="Calibri" w:hAnsi="Calibri" w:cs="Calibri"/>
          <w:b/>
          <w:bCs/>
        </w:rPr>
        <w:t xml:space="preserve"> stato avanzato nel</w:t>
      </w:r>
      <w:r w:rsidR="00B436A5" w:rsidRPr="00A530CF">
        <w:rPr>
          <w:rFonts w:ascii="Calibri" w:hAnsi="Calibri" w:cs="Calibri"/>
          <w:b/>
          <w:bCs/>
        </w:rPr>
        <w:t xml:space="preserve"> </w:t>
      </w:r>
      <w:r w:rsidR="00B5764B" w:rsidRPr="00A530CF">
        <w:rPr>
          <w:rFonts w:ascii="Calibri" w:hAnsi="Calibri" w:cs="Calibri"/>
          <w:b/>
          <w:bCs/>
        </w:rPr>
        <w:t xml:space="preserve">processo di </w:t>
      </w:r>
      <w:proofErr w:type="spellStart"/>
      <w:r w:rsidR="00B5764B" w:rsidRPr="00A530CF">
        <w:rPr>
          <w:rFonts w:ascii="Calibri" w:hAnsi="Calibri" w:cs="Calibri"/>
          <w:b/>
          <w:bCs/>
        </w:rPr>
        <w:t>nearshoring</w:t>
      </w:r>
      <w:proofErr w:type="spellEnd"/>
      <w:r w:rsidR="00DA2216" w:rsidRPr="00A530CF">
        <w:rPr>
          <w:rFonts w:ascii="Calibri" w:hAnsi="Calibri" w:cs="Calibri"/>
          <w:b/>
          <w:bCs/>
        </w:rPr>
        <w:t>.</w:t>
      </w:r>
      <w:r w:rsidR="00DA2216" w:rsidRPr="00F368A4">
        <w:rPr>
          <w:rFonts w:ascii="Calibri" w:hAnsi="Calibri" w:cs="Calibri"/>
        </w:rPr>
        <w:t xml:space="preserve"> Le tariffe imposte </w:t>
      </w:r>
      <w:r w:rsidR="000B1920" w:rsidRPr="00F368A4">
        <w:rPr>
          <w:rFonts w:ascii="Calibri" w:hAnsi="Calibri" w:cs="Calibri"/>
        </w:rPr>
        <w:t xml:space="preserve">non coprono </w:t>
      </w:r>
      <w:r w:rsidR="006A4759" w:rsidRPr="00F368A4">
        <w:rPr>
          <w:rFonts w:ascii="Calibri" w:hAnsi="Calibri" w:cs="Calibri"/>
        </w:rPr>
        <w:t xml:space="preserve">i beni prodotti o inviati </w:t>
      </w:r>
      <w:r w:rsidR="00153F7F" w:rsidRPr="00F368A4">
        <w:rPr>
          <w:rFonts w:ascii="Calibri" w:hAnsi="Calibri" w:cs="Calibri"/>
        </w:rPr>
        <w:t xml:space="preserve">negli USA attraverso </w:t>
      </w:r>
      <w:r w:rsidR="00C8262F" w:rsidRPr="00F368A4">
        <w:rPr>
          <w:rFonts w:ascii="Calibri" w:hAnsi="Calibri" w:cs="Calibri"/>
        </w:rPr>
        <w:t xml:space="preserve">altri </w:t>
      </w:r>
      <w:r w:rsidR="00224412" w:rsidRPr="00F368A4">
        <w:rPr>
          <w:rFonts w:ascii="Calibri" w:hAnsi="Calibri" w:cs="Calibri"/>
        </w:rPr>
        <w:t>P</w:t>
      </w:r>
      <w:r w:rsidR="00C8262F" w:rsidRPr="00F368A4">
        <w:rPr>
          <w:rFonts w:ascii="Calibri" w:hAnsi="Calibri" w:cs="Calibri"/>
        </w:rPr>
        <w:t>aesi come ad esempio il Messico</w:t>
      </w:r>
      <w:r w:rsidR="00153F7F" w:rsidRPr="00F368A4">
        <w:rPr>
          <w:rFonts w:ascii="Calibri" w:hAnsi="Calibri" w:cs="Calibri"/>
        </w:rPr>
        <w:t xml:space="preserve">. </w:t>
      </w:r>
      <w:r w:rsidR="00153F7F" w:rsidRPr="00A530CF">
        <w:rPr>
          <w:rFonts w:ascii="Calibri" w:hAnsi="Calibri" w:cs="Calibri"/>
          <w:b/>
          <w:bCs/>
        </w:rPr>
        <w:t>R</w:t>
      </w:r>
      <w:r w:rsidR="00C8262F" w:rsidRPr="00A530CF">
        <w:rPr>
          <w:rFonts w:ascii="Calibri" w:hAnsi="Calibri" w:cs="Calibri"/>
          <w:b/>
          <w:bCs/>
        </w:rPr>
        <w:t>iteniamo</w:t>
      </w:r>
      <w:r w:rsidR="009E4361" w:rsidRPr="00A530CF">
        <w:rPr>
          <w:rFonts w:ascii="Calibri" w:hAnsi="Calibri" w:cs="Calibri"/>
          <w:b/>
          <w:bCs/>
        </w:rPr>
        <w:t xml:space="preserve"> che, in caso di vittoria di</w:t>
      </w:r>
      <w:r w:rsidR="00814F73" w:rsidRPr="00A530CF">
        <w:rPr>
          <w:rFonts w:ascii="Calibri" w:hAnsi="Calibri" w:cs="Calibri"/>
          <w:b/>
          <w:bCs/>
        </w:rPr>
        <w:t xml:space="preserve"> </w:t>
      </w:r>
      <w:r w:rsidR="00C8262F" w:rsidRPr="00A530CF">
        <w:rPr>
          <w:rFonts w:ascii="Calibri" w:hAnsi="Calibri" w:cs="Calibri"/>
          <w:b/>
          <w:bCs/>
        </w:rPr>
        <w:t>Trump</w:t>
      </w:r>
      <w:r w:rsidR="009E4361" w:rsidRPr="00A530CF">
        <w:rPr>
          <w:rFonts w:ascii="Calibri" w:hAnsi="Calibri" w:cs="Calibri"/>
          <w:b/>
          <w:bCs/>
        </w:rPr>
        <w:t xml:space="preserve">, le tariffe </w:t>
      </w:r>
      <w:r w:rsidR="00F205EA" w:rsidRPr="00A530CF">
        <w:rPr>
          <w:rFonts w:ascii="Calibri" w:hAnsi="Calibri" w:cs="Calibri"/>
          <w:b/>
          <w:bCs/>
        </w:rPr>
        <w:t>contro la Cina</w:t>
      </w:r>
      <w:r w:rsidR="00C8262F" w:rsidRPr="00A530CF">
        <w:rPr>
          <w:rFonts w:ascii="Calibri" w:hAnsi="Calibri" w:cs="Calibri"/>
          <w:b/>
          <w:bCs/>
        </w:rPr>
        <w:t xml:space="preserve"> possa</w:t>
      </w:r>
      <w:r w:rsidR="00814F73" w:rsidRPr="00A530CF">
        <w:rPr>
          <w:rFonts w:ascii="Calibri" w:hAnsi="Calibri" w:cs="Calibri"/>
          <w:b/>
          <w:bCs/>
        </w:rPr>
        <w:t>no</w:t>
      </w:r>
      <w:r w:rsidR="00C8262F" w:rsidRPr="00A530CF">
        <w:rPr>
          <w:rFonts w:ascii="Calibri" w:hAnsi="Calibri" w:cs="Calibri"/>
          <w:b/>
          <w:bCs/>
        </w:rPr>
        <w:t xml:space="preserve"> </w:t>
      </w:r>
      <w:r w:rsidR="003148EF" w:rsidRPr="00A530CF">
        <w:rPr>
          <w:rFonts w:ascii="Calibri" w:hAnsi="Calibri" w:cs="Calibri"/>
          <w:b/>
          <w:bCs/>
        </w:rPr>
        <w:t>aumentare</w:t>
      </w:r>
      <w:r w:rsidR="00814F73" w:rsidRPr="00A530CF">
        <w:rPr>
          <w:rFonts w:ascii="Calibri" w:hAnsi="Calibri" w:cs="Calibri"/>
          <w:b/>
          <w:bCs/>
        </w:rPr>
        <w:t>,</w:t>
      </w:r>
      <w:r w:rsidR="004A0BF1" w:rsidRPr="00A530CF">
        <w:rPr>
          <w:rFonts w:ascii="Calibri" w:hAnsi="Calibri" w:cs="Calibri"/>
          <w:b/>
          <w:bCs/>
        </w:rPr>
        <w:t xml:space="preserve"> il che </w:t>
      </w:r>
      <w:r w:rsidR="003148EF" w:rsidRPr="00A530CF">
        <w:rPr>
          <w:rFonts w:ascii="Calibri" w:hAnsi="Calibri" w:cs="Calibri"/>
          <w:b/>
          <w:bCs/>
        </w:rPr>
        <w:t>rappresenterebbe un rischio maggiore per l’inflazione</w:t>
      </w:r>
      <w:r w:rsidR="003148EF" w:rsidRPr="00F368A4">
        <w:rPr>
          <w:rFonts w:ascii="Calibri" w:hAnsi="Calibri" w:cs="Calibri"/>
        </w:rPr>
        <w:t xml:space="preserve"> ma </w:t>
      </w:r>
      <w:r w:rsidR="002833A3" w:rsidRPr="00F368A4">
        <w:rPr>
          <w:rFonts w:ascii="Calibri" w:hAnsi="Calibri" w:cs="Calibri"/>
        </w:rPr>
        <w:t xml:space="preserve">risveglierebbe </w:t>
      </w:r>
      <w:r w:rsidR="004A0BF1" w:rsidRPr="00F368A4">
        <w:rPr>
          <w:rFonts w:ascii="Calibri" w:hAnsi="Calibri" w:cs="Calibri"/>
        </w:rPr>
        <w:t>gli “</w:t>
      </w:r>
      <w:proofErr w:type="spellStart"/>
      <w:r w:rsidR="004A0BF1" w:rsidRPr="00F368A4">
        <w:rPr>
          <w:rFonts w:ascii="Calibri" w:hAnsi="Calibri" w:cs="Calibri"/>
        </w:rPr>
        <w:t>animal</w:t>
      </w:r>
      <w:proofErr w:type="spellEnd"/>
      <w:r w:rsidR="004A0BF1" w:rsidRPr="00F368A4">
        <w:rPr>
          <w:rFonts w:ascii="Calibri" w:hAnsi="Calibri" w:cs="Calibri"/>
        </w:rPr>
        <w:t xml:space="preserve"> </w:t>
      </w:r>
      <w:proofErr w:type="spellStart"/>
      <w:r w:rsidR="004A0BF1" w:rsidRPr="00F368A4">
        <w:rPr>
          <w:rFonts w:ascii="Calibri" w:hAnsi="Calibri" w:cs="Calibri"/>
        </w:rPr>
        <w:t>spirits</w:t>
      </w:r>
      <w:proofErr w:type="spellEnd"/>
      <w:r w:rsidR="004A0BF1" w:rsidRPr="00F368A4">
        <w:rPr>
          <w:rFonts w:ascii="Calibri" w:hAnsi="Calibri" w:cs="Calibri"/>
        </w:rPr>
        <w:t xml:space="preserve">” sul mercato azionario. </w:t>
      </w:r>
      <w:r w:rsidR="00814F73" w:rsidRPr="00F368A4">
        <w:rPr>
          <w:rFonts w:ascii="Calibri" w:hAnsi="Calibri" w:cs="Calibri"/>
        </w:rPr>
        <w:t xml:space="preserve">Con la </w:t>
      </w:r>
      <w:r w:rsidR="00C710B6" w:rsidRPr="00F368A4">
        <w:rPr>
          <w:rFonts w:ascii="Calibri" w:hAnsi="Calibri" w:cs="Calibri"/>
        </w:rPr>
        <w:t>vittoria di Biden</w:t>
      </w:r>
      <w:r w:rsidR="0080144C" w:rsidRPr="00F368A4">
        <w:rPr>
          <w:rFonts w:ascii="Calibri" w:hAnsi="Calibri" w:cs="Calibri"/>
        </w:rPr>
        <w:t xml:space="preserve">, </w:t>
      </w:r>
      <w:r w:rsidR="00C710B6" w:rsidRPr="00F368A4">
        <w:rPr>
          <w:rFonts w:ascii="Calibri" w:hAnsi="Calibri" w:cs="Calibri"/>
        </w:rPr>
        <w:t xml:space="preserve">l’aspettativa </w:t>
      </w:r>
      <w:r w:rsidR="00687C85" w:rsidRPr="00F368A4">
        <w:rPr>
          <w:rFonts w:ascii="Calibri" w:hAnsi="Calibri" w:cs="Calibri"/>
        </w:rPr>
        <w:t xml:space="preserve">di tariffe </w:t>
      </w:r>
      <w:r w:rsidR="004E6C7B" w:rsidRPr="00F368A4">
        <w:rPr>
          <w:rFonts w:ascii="Calibri" w:hAnsi="Calibri" w:cs="Calibri"/>
        </w:rPr>
        <w:t xml:space="preserve">più incisive </w:t>
      </w:r>
      <w:r w:rsidR="00C710B6" w:rsidRPr="00F368A4">
        <w:rPr>
          <w:rFonts w:ascii="Calibri" w:hAnsi="Calibri" w:cs="Calibri"/>
        </w:rPr>
        <w:t xml:space="preserve">rimane </w:t>
      </w:r>
      <w:r w:rsidR="00150FB1" w:rsidRPr="00F368A4">
        <w:rPr>
          <w:rFonts w:ascii="Calibri" w:hAnsi="Calibri" w:cs="Calibri"/>
        </w:rPr>
        <w:t>bassa</w:t>
      </w:r>
      <w:r w:rsidR="0080144C" w:rsidRPr="00F368A4">
        <w:rPr>
          <w:rFonts w:ascii="Calibri" w:hAnsi="Calibri" w:cs="Calibri"/>
        </w:rPr>
        <w:t>,</w:t>
      </w:r>
      <w:r w:rsidR="00C710B6" w:rsidRPr="00F368A4">
        <w:rPr>
          <w:rFonts w:ascii="Calibri" w:hAnsi="Calibri" w:cs="Calibri"/>
        </w:rPr>
        <w:t xml:space="preserve"> </w:t>
      </w:r>
      <w:r w:rsidR="00687C85" w:rsidRPr="00F368A4">
        <w:rPr>
          <w:rFonts w:ascii="Calibri" w:hAnsi="Calibri" w:cs="Calibri"/>
        </w:rPr>
        <w:t xml:space="preserve">a patto che l’economia </w:t>
      </w:r>
      <w:r w:rsidR="004E6C7B" w:rsidRPr="00F368A4">
        <w:rPr>
          <w:rFonts w:ascii="Calibri" w:hAnsi="Calibri" w:cs="Calibri"/>
        </w:rPr>
        <w:t>si mantenga forte</w:t>
      </w:r>
      <w:r w:rsidR="00A205D1" w:rsidRPr="00F368A4">
        <w:rPr>
          <w:rFonts w:ascii="Calibri" w:hAnsi="Calibri" w:cs="Calibri"/>
        </w:rPr>
        <w:t>.</w:t>
      </w:r>
    </w:p>
    <w:p w14:paraId="55AF01B5" w14:textId="77777777" w:rsidR="0017472E" w:rsidRPr="00F368A4" w:rsidRDefault="0017472E" w:rsidP="00F368A4">
      <w:pPr>
        <w:spacing w:after="0" w:line="240" w:lineRule="auto"/>
        <w:contextualSpacing/>
        <w:rPr>
          <w:rFonts w:ascii="Calibri" w:hAnsi="Calibri" w:cs="Calibri"/>
        </w:rPr>
      </w:pPr>
    </w:p>
    <w:p w14:paraId="5FC2F0DF" w14:textId="77777777" w:rsidR="00D92E5D" w:rsidRPr="00A530CF" w:rsidRDefault="00D92E5D" w:rsidP="00F368A4">
      <w:pPr>
        <w:spacing w:after="0" w:line="240" w:lineRule="auto"/>
        <w:contextualSpacing/>
        <w:rPr>
          <w:rFonts w:ascii="Calibri" w:hAnsi="Calibri" w:cs="Calibri"/>
          <w:i/>
          <w:iCs/>
        </w:rPr>
      </w:pPr>
    </w:p>
    <w:sectPr w:rsidR="00D92E5D" w:rsidRPr="00A53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01C4F"/>
    <w:multiLevelType w:val="hybridMultilevel"/>
    <w:tmpl w:val="7C6EF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56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56"/>
    <w:rsid w:val="00001250"/>
    <w:rsid w:val="000040B0"/>
    <w:rsid w:val="000079C3"/>
    <w:rsid w:val="00007DB7"/>
    <w:rsid w:val="00017407"/>
    <w:rsid w:val="00021179"/>
    <w:rsid w:val="00025611"/>
    <w:rsid w:val="00037455"/>
    <w:rsid w:val="0004290C"/>
    <w:rsid w:val="00050578"/>
    <w:rsid w:val="00054B76"/>
    <w:rsid w:val="000615A8"/>
    <w:rsid w:val="0006317B"/>
    <w:rsid w:val="00074725"/>
    <w:rsid w:val="00082860"/>
    <w:rsid w:val="00082FE6"/>
    <w:rsid w:val="000B17C6"/>
    <w:rsid w:val="000B1920"/>
    <w:rsid w:val="000D675D"/>
    <w:rsid w:val="000D7699"/>
    <w:rsid w:val="000E34A3"/>
    <w:rsid w:val="000F7717"/>
    <w:rsid w:val="00117CC2"/>
    <w:rsid w:val="00150601"/>
    <w:rsid w:val="00150FB1"/>
    <w:rsid w:val="00152C32"/>
    <w:rsid w:val="00153F7F"/>
    <w:rsid w:val="0017472E"/>
    <w:rsid w:val="00176B20"/>
    <w:rsid w:val="00196597"/>
    <w:rsid w:val="001A7A44"/>
    <w:rsid w:val="001B34B3"/>
    <w:rsid w:val="001C322D"/>
    <w:rsid w:val="00204852"/>
    <w:rsid w:val="00213527"/>
    <w:rsid w:val="00224412"/>
    <w:rsid w:val="00226792"/>
    <w:rsid w:val="00234E26"/>
    <w:rsid w:val="00250EA3"/>
    <w:rsid w:val="00267E24"/>
    <w:rsid w:val="00272A18"/>
    <w:rsid w:val="002833A3"/>
    <w:rsid w:val="00286F5E"/>
    <w:rsid w:val="00287ACB"/>
    <w:rsid w:val="00296950"/>
    <w:rsid w:val="002B3ED3"/>
    <w:rsid w:val="002D129E"/>
    <w:rsid w:val="002D1B70"/>
    <w:rsid w:val="002D30BF"/>
    <w:rsid w:val="002D54EB"/>
    <w:rsid w:val="002E0AE8"/>
    <w:rsid w:val="002E6278"/>
    <w:rsid w:val="002F5917"/>
    <w:rsid w:val="003055C2"/>
    <w:rsid w:val="003127D7"/>
    <w:rsid w:val="003130D4"/>
    <w:rsid w:val="003148EF"/>
    <w:rsid w:val="00320D40"/>
    <w:rsid w:val="00322021"/>
    <w:rsid w:val="00340C0B"/>
    <w:rsid w:val="00352BB2"/>
    <w:rsid w:val="00353471"/>
    <w:rsid w:val="00362999"/>
    <w:rsid w:val="0037471C"/>
    <w:rsid w:val="00384E8A"/>
    <w:rsid w:val="003B7489"/>
    <w:rsid w:val="003C18EF"/>
    <w:rsid w:val="003E5E09"/>
    <w:rsid w:val="003F6699"/>
    <w:rsid w:val="0041252F"/>
    <w:rsid w:val="00425831"/>
    <w:rsid w:val="00442198"/>
    <w:rsid w:val="00454967"/>
    <w:rsid w:val="00455E55"/>
    <w:rsid w:val="00461788"/>
    <w:rsid w:val="00470F32"/>
    <w:rsid w:val="00471F28"/>
    <w:rsid w:val="004734CE"/>
    <w:rsid w:val="00494976"/>
    <w:rsid w:val="0049794D"/>
    <w:rsid w:val="00497A3B"/>
    <w:rsid w:val="004A0BF1"/>
    <w:rsid w:val="004B7ED7"/>
    <w:rsid w:val="004C05E6"/>
    <w:rsid w:val="004C570B"/>
    <w:rsid w:val="004D3FAA"/>
    <w:rsid w:val="004E47D3"/>
    <w:rsid w:val="004E6C7B"/>
    <w:rsid w:val="004F1131"/>
    <w:rsid w:val="00500871"/>
    <w:rsid w:val="00503458"/>
    <w:rsid w:val="00510045"/>
    <w:rsid w:val="0052147F"/>
    <w:rsid w:val="00531F4F"/>
    <w:rsid w:val="00532C66"/>
    <w:rsid w:val="0054077D"/>
    <w:rsid w:val="005604D6"/>
    <w:rsid w:val="00560D15"/>
    <w:rsid w:val="00566FA9"/>
    <w:rsid w:val="00570801"/>
    <w:rsid w:val="00570F99"/>
    <w:rsid w:val="00581645"/>
    <w:rsid w:val="0059685C"/>
    <w:rsid w:val="005A103D"/>
    <w:rsid w:val="005A2650"/>
    <w:rsid w:val="005A29E6"/>
    <w:rsid w:val="005B12E6"/>
    <w:rsid w:val="005C06A5"/>
    <w:rsid w:val="005D079D"/>
    <w:rsid w:val="005D6DF1"/>
    <w:rsid w:val="005F6B31"/>
    <w:rsid w:val="00603752"/>
    <w:rsid w:val="00613976"/>
    <w:rsid w:val="00637A17"/>
    <w:rsid w:val="0064790E"/>
    <w:rsid w:val="00647CB9"/>
    <w:rsid w:val="00657FF2"/>
    <w:rsid w:val="00672A72"/>
    <w:rsid w:val="00685A0B"/>
    <w:rsid w:val="0068614D"/>
    <w:rsid w:val="006863A7"/>
    <w:rsid w:val="00687C85"/>
    <w:rsid w:val="006A4759"/>
    <w:rsid w:val="006D1270"/>
    <w:rsid w:val="006D217E"/>
    <w:rsid w:val="006E0E6D"/>
    <w:rsid w:val="006E38EE"/>
    <w:rsid w:val="0072270A"/>
    <w:rsid w:val="00724B04"/>
    <w:rsid w:val="007302A9"/>
    <w:rsid w:val="00744696"/>
    <w:rsid w:val="00772C35"/>
    <w:rsid w:val="007B149E"/>
    <w:rsid w:val="007B1D05"/>
    <w:rsid w:val="007C58CB"/>
    <w:rsid w:val="007E4D78"/>
    <w:rsid w:val="007E6CB9"/>
    <w:rsid w:val="007F68C0"/>
    <w:rsid w:val="0080144C"/>
    <w:rsid w:val="00801657"/>
    <w:rsid w:val="0080680C"/>
    <w:rsid w:val="00814166"/>
    <w:rsid w:val="00814F73"/>
    <w:rsid w:val="0082047E"/>
    <w:rsid w:val="0082428B"/>
    <w:rsid w:val="00833E37"/>
    <w:rsid w:val="008A2956"/>
    <w:rsid w:val="008A32DB"/>
    <w:rsid w:val="008B4B5D"/>
    <w:rsid w:val="008C3232"/>
    <w:rsid w:val="008C489F"/>
    <w:rsid w:val="008D280B"/>
    <w:rsid w:val="008D5B86"/>
    <w:rsid w:val="008E0408"/>
    <w:rsid w:val="008E6FB1"/>
    <w:rsid w:val="008E7993"/>
    <w:rsid w:val="008E7E58"/>
    <w:rsid w:val="009174F5"/>
    <w:rsid w:val="00923ACB"/>
    <w:rsid w:val="00933012"/>
    <w:rsid w:val="009613EB"/>
    <w:rsid w:val="009624F9"/>
    <w:rsid w:val="00966206"/>
    <w:rsid w:val="00983261"/>
    <w:rsid w:val="00986B73"/>
    <w:rsid w:val="009D45B9"/>
    <w:rsid w:val="009D4B84"/>
    <w:rsid w:val="009E3E3B"/>
    <w:rsid w:val="009E4361"/>
    <w:rsid w:val="009E7201"/>
    <w:rsid w:val="009F3D0C"/>
    <w:rsid w:val="009F5E65"/>
    <w:rsid w:val="00A14208"/>
    <w:rsid w:val="00A205D1"/>
    <w:rsid w:val="00A32537"/>
    <w:rsid w:val="00A3398C"/>
    <w:rsid w:val="00A353DB"/>
    <w:rsid w:val="00A35BFF"/>
    <w:rsid w:val="00A4683D"/>
    <w:rsid w:val="00A530CF"/>
    <w:rsid w:val="00A6171F"/>
    <w:rsid w:val="00A65828"/>
    <w:rsid w:val="00A66544"/>
    <w:rsid w:val="00A70A58"/>
    <w:rsid w:val="00A844BA"/>
    <w:rsid w:val="00A971EE"/>
    <w:rsid w:val="00AB69A3"/>
    <w:rsid w:val="00AC72B4"/>
    <w:rsid w:val="00AD44C6"/>
    <w:rsid w:val="00AF0D58"/>
    <w:rsid w:val="00B0427C"/>
    <w:rsid w:val="00B0624A"/>
    <w:rsid w:val="00B15C87"/>
    <w:rsid w:val="00B33965"/>
    <w:rsid w:val="00B3554C"/>
    <w:rsid w:val="00B436A5"/>
    <w:rsid w:val="00B47DD4"/>
    <w:rsid w:val="00B5764B"/>
    <w:rsid w:val="00B64BD7"/>
    <w:rsid w:val="00B76216"/>
    <w:rsid w:val="00B80F25"/>
    <w:rsid w:val="00BB2D7D"/>
    <w:rsid w:val="00BC65A6"/>
    <w:rsid w:val="00BE2712"/>
    <w:rsid w:val="00BF4584"/>
    <w:rsid w:val="00C16500"/>
    <w:rsid w:val="00C24A15"/>
    <w:rsid w:val="00C57D54"/>
    <w:rsid w:val="00C67345"/>
    <w:rsid w:val="00C710B6"/>
    <w:rsid w:val="00C72B26"/>
    <w:rsid w:val="00C75E7C"/>
    <w:rsid w:val="00C7701A"/>
    <w:rsid w:val="00C8262F"/>
    <w:rsid w:val="00C923BE"/>
    <w:rsid w:val="00C96EAE"/>
    <w:rsid w:val="00CB7DA5"/>
    <w:rsid w:val="00CD60CD"/>
    <w:rsid w:val="00CE0881"/>
    <w:rsid w:val="00CE1BB3"/>
    <w:rsid w:val="00CE20AA"/>
    <w:rsid w:val="00CE7056"/>
    <w:rsid w:val="00CF3C24"/>
    <w:rsid w:val="00CF40ED"/>
    <w:rsid w:val="00D0101F"/>
    <w:rsid w:val="00D13325"/>
    <w:rsid w:val="00D531D0"/>
    <w:rsid w:val="00D90BDE"/>
    <w:rsid w:val="00D92E5D"/>
    <w:rsid w:val="00D95944"/>
    <w:rsid w:val="00DA2216"/>
    <w:rsid w:val="00DA3BB0"/>
    <w:rsid w:val="00DB4DE2"/>
    <w:rsid w:val="00DC3BDA"/>
    <w:rsid w:val="00DC5C3F"/>
    <w:rsid w:val="00DC6BA8"/>
    <w:rsid w:val="00DD688C"/>
    <w:rsid w:val="00DF175F"/>
    <w:rsid w:val="00DF602A"/>
    <w:rsid w:val="00E4057C"/>
    <w:rsid w:val="00E5382C"/>
    <w:rsid w:val="00E81075"/>
    <w:rsid w:val="00E9033D"/>
    <w:rsid w:val="00EA5644"/>
    <w:rsid w:val="00EE6EF1"/>
    <w:rsid w:val="00F1212C"/>
    <w:rsid w:val="00F205EA"/>
    <w:rsid w:val="00F34008"/>
    <w:rsid w:val="00F368A4"/>
    <w:rsid w:val="00F468E1"/>
    <w:rsid w:val="00F53908"/>
    <w:rsid w:val="00F62684"/>
    <w:rsid w:val="00F80DDC"/>
    <w:rsid w:val="00F901A7"/>
    <w:rsid w:val="00FE0E96"/>
    <w:rsid w:val="00FE5107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6634"/>
  <w15:chartTrackingRefBased/>
  <w15:docId w15:val="{33552B82-03A2-4056-861B-B371C4E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29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29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29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29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29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29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29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29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29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29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29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29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295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295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295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295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295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295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29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2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29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29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29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295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A295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A295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29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295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A2956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C6BA8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6BA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31F4F"/>
    <w:rPr>
      <w:b/>
      <w:bCs/>
    </w:rPr>
  </w:style>
  <w:style w:type="character" w:customStyle="1" w:styleId="css-1jxf684">
    <w:name w:val="css-1jxf684"/>
    <w:basedOn w:val="Carpredefinitoparagrafo"/>
    <w:rsid w:val="00C72B26"/>
  </w:style>
  <w:style w:type="paragraph" w:styleId="Revisione">
    <w:name w:val="Revision"/>
    <w:hidden/>
    <w:uiPriority w:val="99"/>
    <w:semiHidden/>
    <w:rsid w:val="00F36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4909-4F58-46DD-B080-42B6BA23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Obrizzo - AcomeA SGR</dc:creator>
  <cp:keywords/>
  <dc:description/>
  <cp:lastModifiedBy>Diana Ferla</cp:lastModifiedBy>
  <cp:revision>9</cp:revision>
  <dcterms:created xsi:type="dcterms:W3CDTF">2024-05-22T13:00:00Z</dcterms:created>
  <dcterms:modified xsi:type="dcterms:W3CDTF">2024-05-27T08:06:00Z</dcterms:modified>
</cp:coreProperties>
</file>