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Times New Roman" w:cs="Times New Roman" w:hAnsi="Times New Roman" w:eastAsia="Times New Roman"/>
          <w:b w:val="0"/>
          <w:bCs w:val="0"/>
          <w:sz w:val="22"/>
          <w:szCs w:val="22"/>
        </w:rPr>
      </w:pPr>
      <w:r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line">
              <wp:posOffset>113029</wp:posOffset>
            </wp:positionV>
            <wp:extent cx="2628900" cy="658495"/>
            <wp:effectExtent l="0" t="0" r="0" b="0"/>
            <wp:wrapNone/>
            <wp:docPr id="1073741825" name="officeArt object" descr="ACI---orizzonta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CI---orizzontale" descr="ACI---orizzontal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6584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rPr>
          <w:rFonts w:ascii="Times New Roman" w:cs="Times New Roman" w:hAnsi="Times New Roman" w:eastAsia="Times New Roman"/>
          <w:b w:val="0"/>
          <w:bCs w:val="0"/>
          <w:sz w:val="22"/>
          <w:szCs w:val="22"/>
        </w:rPr>
      </w:pPr>
    </w:p>
    <w:p>
      <w:pPr>
        <w:pStyle w:val="Normal.0"/>
        <w:rPr>
          <w:rFonts w:ascii="Times New Roman" w:cs="Times New Roman" w:hAnsi="Times New Roman" w:eastAsia="Times New Roman"/>
          <w:b w:val="0"/>
          <w:bCs w:val="0"/>
          <w:sz w:val="22"/>
          <w:szCs w:val="22"/>
        </w:rPr>
      </w:pPr>
    </w:p>
    <w:p>
      <w:pPr>
        <w:pStyle w:val="Normal.0"/>
        <w:rPr>
          <w:rFonts w:ascii="Times New Roman" w:cs="Times New Roman" w:hAnsi="Times New Roman" w:eastAsia="Times New Roman"/>
          <w:b w:val="0"/>
          <w:bCs w:val="0"/>
          <w:sz w:val="22"/>
          <w:szCs w:val="22"/>
        </w:rPr>
      </w:pPr>
    </w:p>
    <w:p>
      <w:pPr>
        <w:pStyle w:val="Normal.0"/>
        <w:jc w:val="right"/>
        <w:rPr>
          <w:i w:val="1"/>
          <w:iCs w:val="1"/>
        </w:rPr>
      </w:pPr>
    </w:p>
    <w:p>
      <w:pPr>
        <w:pStyle w:val="Normal.0"/>
        <w:jc w:val="right"/>
        <w:rPr>
          <w:b w:val="0"/>
          <w:bCs w:val="0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0"/>
          <w:bCs w:val="0"/>
          <w:i w:val="1"/>
          <w:i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Roma, </w:t>
      </w:r>
      <w:r>
        <w:rPr>
          <w:b w:val="0"/>
          <w:bCs w:val="0"/>
          <w:i w:val="1"/>
          <w:i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6</w:t>
      </w:r>
      <w:r>
        <w:rPr>
          <w:b w:val="0"/>
          <w:bCs w:val="0"/>
          <w:i w:val="1"/>
          <w:i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0"/>
          <w:bCs w:val="0"/>
          <w:i w:val="1"/>
          <w:i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maggio</w:t>
      </w:r>
      <w:r>
        <w:rPr>
          <w:b w:val="0"/>
          <w:bCs w:val="0"/>
          <w:i w:val="1"/>
          <w:i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202</w:t>
      </w:r>
      <w:r>
        <w:rPr>
          <w:b w:val="0"/>
          <w:bCs w:val="0"/>
          <w:i w:val="1"/>
          <w:i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4</w:t>
      </w:r>
    </w:p>
    <w:p>
      <w:pPr>
        <w:pStyle w:val="Normal.0"/>
        <w:jc w:val="right"/>
        <w:rPr>
          <w:outline w:val="0"/>
          <w:color w:val="003366"/>
          <w:u w:val="single" w:color="003366"/>
          <w14:textFill>
            <w14:solidFill>
              <w14:srgbClr w14:val="003366"/>
            </w14:solidFill>
          </w14:textFill>
        </w:rPr>
      </w:pPr>
    </w:p>
    <w:p>
      <w:pPr>
        <w:pStyle w:val="Normal.0"/>
        <w:rPr>
          <w:outline w:val="0"/>
          <w:color w:val="003366"/>
          <w:sz w:val="16"/>
          <w:szCs w:val="16"/>
          <w:u w:val="single" w:color="003366"/>
          <w14:textFill>
            <w14:solidFill>
              <w14:srgbClr w14:val="003366"/>
            </w14:solidFill>
          </w14:textFill>
        </w:rPr>
      </w:pPr>
    </w:p>
    <w:p>
      <w:pPr>
        <w:pStyle w:val="Normal.0"/>
        <w:spacing w:line="276" w:lineRule="auto"/>
        <w:rPr>
          <w:b w:val="0"/>
          <w:bCs w:val="0"/>
          <w:outline w:val="0"/>
          <w:color w:val="003366"/>
          <w:sz w:val="20"/>
          <w:szCs w:val="20"/>
          <w:u w:val="single" w:color="003366"/>
          <w14:textFill>
            <w14:solidFill>
              <w14:srgbClr w14:val="003366"/>
            </w14:solidFill>
          </w14:textFill>
        </w:rPr>
      </w:pPr>
      <w:r>
        <w:rPr>
          <w:b w:val="0"/>
          <w:bCs w:val="0"/>
          <w:outline w:val="0"/>
          <w:color w:val="003366"/>
          <w:sz w:val="20"/>
          <w:szCs w:val="20"/>
          <w:u w:val="single" w:color="003366"/>
          <w:rtl w:val="0"/>
          <w:lang w:val="it-IT"/>
          <w14:textFill>
            <w14:solidFill>
              <w14:srgbClr w14:val="003366"/>
            </w14:solidFill>
          </w14:textFill>
        </w:rPr>
        <w:t>MERCATO AUTOVEICOLI</w:t>
      </w:r>
    </w:p>
    <w:p>
      <w:pPr>
        <w:pStyle w:val="Normal.0"/>
        <w:spacing w:line="276" w:lineRule="auto"/>
        <w:rPr>
          <w:outline w:val="0"/>
          <w:color w:val="003366"/>
          <w:sz w:val="16"/>
          <w:szCs w:val="16"/>
          <w:u w:val="single" w:color="003366"/>
          <w14:textFill>
            <w14:solidFill>
              <w14:srgbClr w14:val="003366"/>
            </w14:solidFill>
          </w14:textFill>
        </w:rPr>
      </w:pPr>
    </w:p>
    <w:p>
      <w:pPr>
        <w:pStyle w:val="Normal.0"/>
        <w:rPr>
          <w:outline w:val="0"/>
          <w:color w:val="800000"/>
          <w:sz w:val="24"/>
          <w:szCs w:val="24"/>
          <w:u w:color="800000"/>
          <w14:textFill>
            <w14:solidFill>
              <w14:srgbClr w14:val="800000"/>
            </w14:solidFill>
          </w14:textFill>
        </w:rPr>
      </w:pPr>
      <w:r>
        <w:rPr>
          <w:rFonts w:cs="Arial Unicode MS" w:eastAsia="Arial Unicode MS"/>
          <w:outline w:val="0"/>
          <w:color w:val="800000"/>
          <w:sz w:val="24"/>
          <w:szCs w:val="24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>ACI:</w:t>
      </w:r>
      <w:r>
        <w:rPr>
          <w:rFonts w:cs="Arial Unicode MS" w:eastAsia="Arial Unicode MS"/>
          <w:outline w:val="0"/>
          <w:color w:val="800000"/>
          <w:sz w:val="24"/>
          <w:szCs w:val="24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 xml:space="preserve"> IN CRESCITA AD APRILE USATO E RADIAZIONI</w:t>
      </w:r>
      <w:r>
        <w:rPr>
          <w:rFonts w:cs="Arial Unicode MS" w:eastAsia="Arial Unicode MS"/>
          <w:outline w:val="0"/>
          <w:color w:val="800000"/>
          <w:sz w:val="24"/>
          <w:szCs w:val="24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 xml:space="preserve">  </w:t>
      </w:r>
    </w:p>
    <w:p>
      <w:pPr>
        <w:pStyle w:val="Normal.0"/>
        <w:rPr>
          <w:outline w:val="0"/>
          <w:color w:val="800000"/>
          <w:sz w:val="24"/>
          <w:szCs w:val="24"/>
          <w:u w:color="800000"/>
          <w14:textFill>
            <w14:solidFill>
              <w14:srgbClr w14:val="800000"/>
            </w14:solidFill>
          </w14:textFill>
        </w:rPr>
      </w:pPr>
      <w:r>
        <w:rPr>
          <w:rFonts w:cs="Arial Unicode MS" w:eastAsia="Arial Unicode MS"/>
          <w:outline w:val="0"/>
          <w:color w:val="800000"/>
          <w:sz w:val="24"/>
          <w:szCs w:val="24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>MA NON SI FERMA L</w:t>
      </w:r>
      <w:r>
        <w:rPr>
          <w:rFonts w:cs="Arial Unicode MS" w:eastAsia="Arial Unicode MS" w:hint="default"/>
          <w:outline w:val="0"/>
          <w:color w:val="800000"/>
          <w:sz w:val="24"/>
          <w:szCs w:val="24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>’</w:t>
      </w:r>
      <w:r>
        <w:rPr>
          <w:rFonts w:cs="Arial Unicode MS" w:eastAsia="Arial Unicode MS"/>
          <w:outline w:val="0"/>
          <w:color w:val="800000"/>
          <w:sz w:val="24"/>
          <w:szCs w:val="24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 xml:space="preserve">AUMENTO DEL PARCO CIRCOLANTE </w:t>
      </w:r>
    </w:p>
    <w:p>
      <w:pPr>
        <w:pStyle w:val="Normal.0"/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 xml:space="preserve"> </w:t>
      </w:r>
    </w:p>
    <w:p>
      <w:pPr>
        <w:pStyle w:val="Normal.0"/>
        <w:spacing w:line="288" w:lineRule="auto"/>
        <w:jc w:val="both"/>
        <w:rPr>
          <w:sz w:val="16"/>
          <w:szCs w:val="16"/>
        </w:rPr>
      </w:pPr>
    </w:p>
    <w:p>
      <w:pPr>
        <w:pStyle w:val="Normal.0"/>
        <w:spacing w:line="288" w:lineRule="auto"/>
        <w:jc w:val="both"/>
        <w:rPr>
          <w:b w:val="0"/>
          <w:bCs w:val="0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Crescita a due cifre ad aprile per il mercato dei veicoli di seconda mano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 I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passaggi di propriet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delle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autovetture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al netto delle minivolture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(trasferimenti temporanei a nome del concessionario in attesa della rivendita al cliente finale) hanno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registrato 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un 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incremento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del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19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7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%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rispetto a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d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aprile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 202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3, che si ridimensiona tuttavia al 7,8% in termini di media giornaliera, in ragione della presenza di due giornate lavorative in pi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ù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.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Per ogni 100 autovetture nuove ne sono state vendute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191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usate ad aprile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 1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84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ne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prim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o quadrimestre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dell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anno.</w:t>
      </w:r>
    </w:p>
    <w:p>
      <w:pPr>
        <w:pStyle w:val="Normal.0"/>
        <w:spacing w:line="288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88" w:lineRule="auto"/>
        <w:jc w:val="both"/>
        <w:rPr>
          <w:b w:val="0"/>
          <w:bCs w:val="0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Per quanto riguarda le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motorizzazioni, 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in vetta alla classifica del 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mercato dell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usato 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si trovano 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sempre 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le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alimentazioni tradizionali (gasolio e benzina)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 costante crescita, tuttavia, le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compravendite di auto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ibride a benzina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,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ch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 con un aumento del 53%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hanno raggiunto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una quota 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di mercato 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del 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6,6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%. 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In stallo, al contrario, il mercato delle 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auto elettriche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di seconda mano, fermo ad aprile su una quota dello 0,7%. 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Nel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settore delle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minivolture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si conferma ancora una volta il primato del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diesel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(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48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9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% di quota a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 aprile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in 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calo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rispetto a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 53,4% archiviato nello stesso mese del 2023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), mentre l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incidenza delle 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ibride a benzina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si posiziona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8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6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%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, superando nuovamente 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le 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alimentazioni a gpl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, 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attestate al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7,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3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%.</w:t>
      </w:r>
    </w:p>
    <w:p>
      <w:pPr>
        <w:pStyle w:val="Normal.0"/>
        <w:spacing w:line="288" w:lineRule="auto"/>
        <w:jc w:val="both"/>
        <w:rPr>
          <w:sz w:val="22"/>
          <w:szCs w:val="22"/>
        </w:rPr>
      </w:pPr>
    </w:p>
    <w:p>
      <w:pPr>
        <w:pStyle w:val="Normal.0"/>
        <w:spacing w:line="288" w:lineRule="auto"/>
        <w:jc w:val="both"/>
        <w:rPr>
          <w:b w:val="0"/>
          <w:bCs w:val="0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Incremento mensile anche 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per i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passaggi di propriet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dei motocicli 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che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 al netto delle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minivolture, 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hanno chiuso il bilancio di aprile in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progresso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del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20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% 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rispetto all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analogo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mese del 202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3 (+8% la media giornaliera)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</w:t>
      </w:r>
    </w:p>
    <w:p>
      <w:pPr>
        <w:pStyle w:val="footer"/>
        <w:tabs>
          <w:tab w:val="clear" w:pos="4819"/>
          <w:tab w:val="clear" w:pos="9638"/>
        </w:tabs>
        <w:spacing w:line="288" w:lineRule="auto"/>
        <w:jc w:val="both"/>
        <w:rPr>
          <w:rFonts w:ascii="Cambria" w:cs="Cambria" w:hAnsi="Cambria" w:eastAsia="Cambria"/>
          <w:sz w:val="22"/>
          <w:szCs w:val="22"/>
        </w:rPr>
      </w:pPr>
    </w:p>
    <w:p>
      <w:pPr>
        <w:pStyle w:val="footer"/>
        <w:tabs>
          <w:tab w:val="clear" w:pos="4819"/>
          <w:tab w:val="clear" w:pos="9638"/>
        </w:tabs>
        <w:spacing w:line="288" w:lineRule="auto"/>
        <w:jc w:val="both"/>
        <w:rPr>
          <w:rFonts w:ascii="Cambria" w:cs="Cambria" w:hAnsi="Cambria" w:eastAsia="Cambria"/>
          <w:sz w:val="22"/>
          <w:szCs w:val="22"/>
        </w:rPr>
      </w:pPr>
      <w:r>
        <w:rPr>
          <w:rFonts w:ascii="Cambria" w:hAnsi="Cambria"/>
          <w:rtl w:val="0"/>
          <w:lang w:val="it-IT"/>
        </w:rPr>
        <w:t>N</w:t>
      </w:r>
      <w:r>
        <w:rPr>
          <w:rFonts w:ascii="Cambria" w:hAnsi="Cambria"/>
          <w:sz w:val="22"/>
          <w:szCs w:val="22"/>
          <w:rtl w:val="0"/>
          <w:lang w:val="it-IT"/>
        </w:rPr>
        <w:t>e</w:t>
      </w:r>
      <w:r>
        <w:rPr>
          <w:rFonts w:ascii="Cambria" w:hAnsi="Cambria"/>
          <w:sz w:val="22"/>
          <w:szCs w:val="22"/>
          <w:rtl w:val="0"/>
          <w:lang w:val="it-IT"/>
        </w:rPr>
        <w:t>l</w:t>
      </w:r>
      <w:r>
        <w:rPr>
          <w:rFonts w:ascii="Cambria" w:hAnsi="Cambria"/>
          <w:sz w:val="22"/>
          <w:szCs w:val="22"/>
          <w:rtl w:val="0"/>
          <w:lang w:val="it-IT"/>
        </w:rPr>
        <w:t xml:space="preserve"> prim</w:t>
      </w:r>
      <w:r>
        <w:rPr>
          <w:rFonts w:ascii="Cambria" w:hAnsi="Cambria"/>
          <w:sz w:val="22"/>
          <w:szCs w:val="22"/>
          <w:rtl w:val="0"/>
          <w:lang w:val="it-IT"/>
        </w:rPr>
        <w:t xml:space="preserve">o quadrimestre </w:t>
      </w:r>
      <w:r>
        <w:rPr>
          <w:rFonts w:ascii="Cambria" w:hAnsi="Cambria"/>
          <w:sz w:val="22"/>
          <w:szCs w:val="22"/>
          <w:rtl w:val="0"/>
          <w:lang w:val="it-IT"/>
        </w:rPr>
        <w:t>202</w:t>
      </w:r>
      <w:r>
        <w:rPr>
          <w:rFonts w:ascii="Cambria" w:hAnsi="Cambria"/>
          <w:sz w:val="22"/>
          <w:szCs w:val="22"/>
          <w:rtl w:val="0"/>
          <w:lang w:val="it-IT"/>
        </w:rPr>
        <w:t>4</w:t>
      </w:r>
      <w:r>
        <w:rPr>
          <w:rFonts w:ascii="Cambria" w:hAnsi="Cambria"/>
          <w:sz w:val="22"/>
          <w:szCs w:val="22"/>
          <w:rtl w:val="0"/>
          <w:lang w:val="it-IT"/>
        </w:rPr>
        <w:t xml:space="preserve"> rispetto allo stesso periodo del 202</w:t>
      </w:r>
      <w:r>
        <w:rPr>
          <w:rFonts w:ascii="Cambria" w:hAnsi="Cambria"/>
          <w:sz w:val="22"/>
          <w:szCs w:val="22"/>
          <w:rtl w:val="0"/>
          <w:lang w:val="it-IT"/>
        </w:rPr>
        <w:t>3</w:t>
      </w:r>
      <w:r>
        <w:rPr>
          <w:rFonts w:ascii="Cambria" w:hAnsi="Cambria"/>
          <w:sz w:val="22"/>
          <w:szCs w:val="22"/>
          <w:rtl w:val="0"/>
          <w:lang w:val="it-IT"/>
        </w:rPr>
        <w:t xml:space="preserve"> i trasferimenti netti di propriet</w:t>
      </w:r>
      <w:r>
        <w:rPr>
          <w:rFonts w:ascii="Cambria" w:hAnsi="Cambria" w:hint="default"/>
          <w:sz w:val="22"/>
          <w:szCs w:val="22"/>
          <w:rtl w:val="0"/>
          <w:lang w:val="it-IT"/>
        </w:rPr>
        <w:t xml:space="preserve">à </w:t>
      </w:r>
      <w:r>
        <w:rPr>
          <w:rFonts w:ascii="Cambria" w:hAnsi="Cambria"/>
          <w:sz w:val="22"/>
          <w:szCs w:val="22"/>
          <w:rtl w:val="0"/>
          <w:lang w:val="it-IT"/>
        </w:rPr>
        <w:t xml:space="preserve">hanno </w:t>
      </w:r>
      <w:r>
        <w:rPr>
          <w:rFonts w:ascii="Cambria" w:hAnsi="Cambria"/>
          <w:sz w:val="22"/>
          <w:szCs w:val="22"/>
          <w:rtl w:val="0"/>
          <w:lang w:val="it-IT"/>
        </w:rPr>
        <w:t>archiviato</w:t>
      </w:r>
      <w:r>
        <w:rPr>
          <w:rFonts w:ascii="Cambria" w:hAnsi="Cambria"/>
          <w:sz w:val="22"/>
          <w:szCs w:val="22"/>
          <w:rtl w:val="0"/>
          <w:lang w:val="it-IT"/>
        </w:rPr>
        <w:t xml:space="preserve"> </w:t>
      </w:r>
      <w:r>
        <w:rPr>
          <w:rFonts w:ascii="Cambria" w:hAnsi="Cambria"/>
          <w:sz w:val="22"/>
          <w:szCs w:val="22"/>
          <w:rtl w:val="0"/>
          <w:lang w:val="it-IT"/>
        </w:rPr>
        <w:t>aumenti</w:t>
      </w:r>
      <w:r>
        <w:rPr>
          <w:rFonts w:ascii="Cambria" w:hAnsi="Cambria"/>
          <w:sz w:val="22"/>
          <w:szCs w:val="22"/>
          <w:rtl w:val="0"/>
          <w:lang w:val="it-IT"/>
        </w:rPr>
        <w:t xml:space="preserve"> del </w:t>
      </w:r>
      <w:r>
        <w:rPr>
          <w:rFonts w:ascii="Cambria" w:hAnsi="Cambria"/>
          <w:sz w:val="22"/>
          <w:szCs w:val="22"/>
          <w:rtl w:val="0"/>
          <w:lang w:val="it-IT"/>
        </w:rPr>
        <w:t>10,6</w:t>
      </w:r>
      <w:r>
        <w:rPr>
          <w:rFonts w:ascii="Cambria" w:hAnsi="Cambria"/>
          <w:sz w:val="22"/>
          <w:szCs w:val="22"/>
          <w:rtl w:val="0"/>
          <w:lang w:val="it-IT"/>
        </w:rPr>
        <w:t>% per le autovetture</w:t>
      </w:r>
      <w:r>
        <w:rPr>
          <w:rFonts w:ascii="Cambria" w:hAnsi="Cambria"/>
          <w:sz w:val="22"/>
          <w:szCs w:val="22"/>
          <w:rtl w:val="0"/>
          <w:lang w:val="it-IT"/>
        </w:rPr>
        <w:t xml:space="preserve">, del 6,1% per i motocicli </w:t>
      </w:r>
      <w:r>
        <w:rPr>
          <w:rFonts w:ascii="Cambria" w:hAnsi="Cambria"/>
          <w:sz w:val="22"/>
          <w:szCs w:val="22"/>
          <w:rtl w:val="0"/>
          <w:lang w:val="it-IT"/>
        </w:rPr>
        <w:t xml:space="preserve">e del </w:t>
      </w:r>
      <w:r>
        <w:rPr>
          <w:rFonts w:ascii="Cambria" w:hAnsi="Cambria"/>
          <w:sz w:val="22"/>
          <w:szCs w:val="22"/>
          <w:rtl w:val="0"/>
          <w:lang w:val="it-IT"/>
        </w:rPr>
        <w:t>9</w:t>
      </w:r>
      <w:r>
        <w:rPr>
          <w:rFonts w:ascii="Cambria" w:hAnsi="Cambria"/>
          <w:sz w:val="22"/>
          <w:szCs w:val="22"/>
          <w:rtl w:val="0"/>
          <w:lang w:val="it-IT"/>
        </w:rPr>
        <w:t>,</w:t>
      </w:r>
      <w:r>
        <w:rPr>
          <w:rFonts w:ascii="Cambria" w:hAnsi="Cambria"/>
          <w:sz w:val="22"/>
          <w:szCs w:val="22"/>
          <w:rtl w:val="0"/>
          <w:lang w:val="it-IT"/>
        </w:rPr>
        <w:t>3</w:t>
      </w:r>
      <w:r>
        <w:rPr>
          <w:rFonts w:ascii="Cambria" w:hAnsi="Cambria"/>
          <w:sz w:val="22"/>
          <w:szCs w:val="22"/>
          <w:rtl w:val="0"/>
          <w:lang w:val="it-IT"/>
        </w:rPr>
        <w:t>% per tutti i veicoli.</w:t>
      </w:r>
    </w:p>
    <w:p>
      <w:pPr>
        <w:pStyle w:val="Normal.0"/>
        <w:spacing w:line="288" w:lineRule="auto"/>
        <w:jc w:val="both"/>
        <w:rPr>
          <w:b w:val="0"/>
          <w:bCs w:val="0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88" w:lineRule="auto"/>
        <w:jc w:val="both"/>
        <w:rPr>
          <w:b w:val="0"/>
          <w:bCs w:val="0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dati sono riportati nell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ultimo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bollettino mensile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Auto-Trend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 l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analisi statistica realizzata dall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Automobile Club d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Italia sui dati del PRA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 consultabile sul sito www.aci.it .</w:t>
      </w:r>
    </w:p>
    <w:p>
      <w:pPr>
        <w:pStyle w:val="Normal.0"/>
        <w:spacing w:line="288" w:lineRule="auto"/>
        <w:jc w:val="both"/>
        <w:rPr>
          <w:b w:val="0"/>
          <w:bCs w:val="0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88" w:lineRule="auto"/>
        <w:jc w:val="both"/>
        <w:rPr>
          <w:b w:val="0"/>
          <w:bCs w:val="0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Vero e proprio balzo ad aprile per le 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radiazioni d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autovetture, 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con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 un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incremento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del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 32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,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6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%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rispetto a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d aprile 2023 (19,3% in termini di media giornaliera), 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mese quest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ultimo che aveva fatto registrare un minimo assoluto per il settore. 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Il tasso unitario di sostituzione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 risulta pari 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a 0,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67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 (ogni 100 auto nuove ne sono state radiate 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67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)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 e a 0,71 nei primi quattro mesi dell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anno.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Nonostante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il risultato ampiamente positivo, va dunque sottolineato, il parco circolante italiano continua a crescere progressivamente.</w:t>
      </w:r>
    </w:p>
    <w:p>
      <w:pPr>
        <w:pStyle w:val="Normal.0"/>
        <w:spacing w:line="288" w:lineRule="auto"/>
        <w:jc w:val="both"/>
        <w:rPr>
          <w:b w:val="0"/>
          <w:bCs w:val="0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88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In 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terreno 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positivo infine anche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le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radiazioni di motocicli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 che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hanno chiuso il bilancio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mensile con 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un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cremento del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19,5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%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(7,6% la media giornaliera).</w:t>
      </w:r>
    </w:p>
    <w:p>
      <w:pPr>
        <w:pStyle w:val="Normal.0"/>
        <w:spacing w:line="288" w:lineRule="auto"/>
        <w:jc w:val="both"/>
        <w:rPr>
          <w:sz w:val="22"/>
          <w:szCs w:val="22"/>
        </w:rPr>
      </w:pPr>
    </w:p>
    <w:p>
      <w:pPr>
        <w:pStyle w:val="footer"/>
        <w:tabs>
          <w:tab w:val="left" w:pos="8805"/>
          <w:tab w:val="clear" w:pos="4819"/>
          <w:tab w:val="clear" w:pos="9638"/>
        </w:tabs>
        <w:spacing w:line="288" w:lineRule="auto"/>
        <w:jc w:val="both"/>
        <w:rPr>
          <w:rFonts w:ascii="Cambria" w:cs="Cambria" w:hAnsi="Cambria" w:eastAsia="Cambria"/>
          <w:sz w:val="22"/>
          <w:szCs w:val="22"/>
        </w:rPr>
      </w:pPr>
      <w:r>
        <w:rPr>
          <w:rFonts w:ascii="Cambria" w:hAnsi="Cambria"/>
          <w:sz w:val="22"/>
          <w:szCs w:val="22"/>
          <w:rtl w:val="0"/>
          <w:lang w:val="it-IT"/>
        </w:rPr>
        <w:t>Da gennaio a</w:t>
      </w:r>
      <w:r>
        <w:rPr>
          <w:rFonts w:ascii="Cambria" w:hAnsi="Cambria"/>
          <w:sz w:val="22"/>
          <w:szCs w:val="22"/>
          <w:rtl w:val="0"/>
          <w:lang w:val="it-IT"/>
        </w:rPr>
        <w:t>d aprile</w:t>
      </w:r>
      <w:r>
        <w:rPr>
          <w:rFonts w:ascii="Cambria" w:hAnsi="Cambria"/>
          <w:sz w:val="22"/>
          <w:szCs w:val="22"/>
          <w:rtl w:val="0"/>
          <w:lang w:val="it-IT"/>
        </w:rPr>
        <w:t xml:space="preserve"> 202</w:t>
      </w:r>
      <w:r>
        <w:rPr>
          <w:rFonts w:ascii="Cambria" w:hAnsi="Cambria"/>
          <w:sz w:val="22"/>
          <w:szCs w:val="22"/>
          <w:rtl w:val="0"/>
          <w:lang w:val="it-IT"/>
        </w:rPr>
        <w:t xml:space="preserve">4, </w:t>
      </w:r>
      <w:r>
        <w:rPr>
          <w:rFonts w:ascii="Cambria" w:hAnsi="Cambria"/>
          <w:sz w:val="22"/>
          <w:szCs w:val="22"/>
          <w:rtl w:val="0"/>
          <w:lang w:val="it-IT"/>
        </w:rPr>
        <w:t>rispetto allo stesso periodo del 202</w:t>
      </w:r>
      <w:r>
        <w:rPr>
          <w:rFonts w:ascii="Cambria" w:hAnsi="Cambria"/>
          <w:sz w:val="22"/>
          <w:szCs w:val="22"/>
          <w:rtl w:val="0"/>
          <w:lang w:val="it-IT"/>
        </w:rPr>
        <w:t>3</w:t>
      </w:r>
      <w:r>
        <w:rPr>
          <w:rFonts w:ascii="Cambria" w:hAnsi="Cambria"/>
          <w:sz w:val="22"/>
          <w:szCs w:val="22"/>
          <w:rtl w:val="0"/>
          <w:lang w:val="it-IT"/>
        </w:rPr>
        <w:t xml:space="preserve"> le radiazioni hanno archiviato </w:t>
      </w:r>
      <w:r>
        <w:rPr>
          <w:rFonts w:ascii="Cambria" w:hAnsi="Cambria"/>
          <w:sz w:val="22"/>
          <w:szCs w:val="22"/>
          <w:rtl w:val="0"/>
          <w:lang w:val="it-IT"/>
        </w:rPr>
        <w:t xml:space="preserve">aumenti  </w:t>
      </w:r>
      <w:r>
        <w:rPr>
          <w:rFonts w:ascii="Cambria" w:hAnsi="Cambria"/>
          <w:sz w:val="22"/>
          <w:szCs w:val="22"/>
          <w:rtl w:val="0"/>
          <w:lang w:val="it-IT"/>
        </w:rPr>
        <w:t>del</w:t>
      </w:r>
      <w:r>
        <w:rPr>
          <w:rFonts w:ascii="Cambria" w:hAnsi="Cambria"/>
          <w:sz w:val="22"/>
          <w:szCs w:val="22"/>
          <w:rtl w:val="0"/>
          <w:lang w:val="it-IT"/>
        </w:rPr>
        <w:t xml:space="preserve"> 26,7%</w:t>
      </w:r>
      <w:r>
        <w:rPr>
          <w:rFonts w:ascii="Cambria" w:hAnsi="Cambria"/>
          <w:sz w:val="22"/>
          <w:szCs w:val="22"/>
          <w:rtl w:val="0"/>
          <w:lang w:val="it-IT"/>
        </w:rPr>
        <w:t xml:space="preserve"> per le autovetture</w:t>
      </w:r>
      <w:r>
        <w:rPr>
          <w:rFonts w:ascii="Cambria" w:hAnsi="Cambria"/>
          <w:sz w:val="22"/>
          <w:szCs w:val="22"/>
          <w:rtl w:val="0"/>
          <w:lang w:val="it-IT"/>
        </w:rPr>
        <w:t xml:space="preserve">, del 14,2% per i motocicli </w:t>
      </w:r>
      <w:r>
        <w:rPr>
          <w:rFonts w:ascii="Cambria" w:hAnsi="Cambria"/>
          <w:sz w:val="22"/>
          <w:szCs w:val="22"/>
          <w:rtl w:val="0"/>
          <w:lang w:val="it-IT"/>
        </w:rPr>
        <w:t xml:space="preserve"> e del </w:t>
      </w:r>
      <w:r>
        <w:rPr>
          <w:rFonts w:ascii="Cambria" w:hAnsi="Cambria"/>
          <w:sz w:val="22"/>
          <w:szCs w:val="22"/>
          <w:rtl w:val="0"/>
          <w:lang w:val="it-IT"/>
        </w:rPr>
        <w:t>25,9</w:t>
      </w:r>
      <w:r>
        <w:rPr>
          <w:rFonts w:ascii="Cambria" w:hAnsi="Cambria"/>
          <w:sz w:val="22"/>
          <w:szCs w:val="22"/>
          <w:rtl w:val="0"/>
          <w:lang w:val="it-IT"/>
        </w:rPr>
        <w:t>% per t</w:t>
      </w:r>
      <w:r>
        <w:rPr>
          <w:rFonts w:ascii="Cambria" w:hAnsi="Cambria"/>
          <w:sz w:val="22"/>
          <w:szCs w:val="22"/>
          <w:rtl w:val="0"/>
          <w:lang w:val="it-IT"/>
        </w:rPr>
        <w:t>utti i veicoli</w:t>
      </w:r>
      <w:r>
        <w:rPr>
          <w:rFonts w:ascii="Cambria" w:hAnsi="Cambria"/>
          <w:sz w:val="22"/>
          <w:szCs w:val="22"/>
          <w:rtl w:val="0"/>
          <w:lang w:val="it-IT"/>
        </w:rPr>
        <w:t>.</w:t>
      </w:r>
    </w:p>
    <w:p>
      <w:pPr>
        <w:pStyle w:val="footer"/>
        <w:tabs>
          <w:tab w:val="left" w:pos="8805"/>
          <w:tab w:val="clear" w:pos="4819"/>
          <w:tab w:val="clear" w:pos="9638"/>
        </w:tabs>
        <w:spacing w:line="288" w:lineRule="auto"/>
        <w:jc w:val="both"/>
        <w:rPr>
          <w:rFonts w:ascii="Cambria" w:cs="Cambria" w:hAnsi="Cambria" w:eastAsia="Cambria"/>
          <w:sz w:val="22"/>
          <w:szCs w:val="22"/>
        </w:rPr>
      </w:pPr>
    </w:p>
    <w:p>
      <w:pPr>
        <w:pStyle w:val="footer"/>
        <w:tabs>
          <w:tab w:val="left" w:pos="8805"/>
          <w:tab w:val="clear" w:pos="4819"/>
          <w:tab w:val="clear" w:pos="9638"/>
        </w:tabs>
        <w:spacing w:line="288" w:lineRule="auto"/>
        <w:jc w:val="both"/>
        <w:rPr>
          <w:rFonts w:ascii="Cambria" w:cs="Cambria" w:hAnsi="Cambria" w:eastAsia="Cambria"/>
          <w:sz w:val="22"/>
          <w:szCs w:val="22"/>
        </w:rPr>
      </w:pPr>
    </w:p>
    <w:p>
      <w:pPr>
        <w:pStyle w:val="footer"/>
        <w:tabs>
          <w:tab w:val="left" w:pos="8805"/>
          <w:tab w:val="clear" w:pos="4819"/>
          <w:tab w:val="clear" w:pos="9638"/>
        </w:tabs>
        <w:spacing w:line="288" w:lineRule="auto"/>
        <w:jc w:val="both"/>
        <w:rPr>
          <w:rFonts w:ascii="Cambria" w:cs="Cambria" w:hAnsi="Cambria" w:eastAsia="Cambria"/>
          <w:sz w:val="22"/>
          <w:szCs w:val="22"/>
        </w:rPr>
      </w:pPr>
    </w:p>
    <w:p>
      <w:pPr>
        <w:pStyle w:val="footer"/>
        <w:tabs>
          <w:tab w:val="left" w:pos="8805"/>
          <w:tab w:val="clear" w:pos="4819"/>
          <w:tab w:val="clear" w:pos="9638"/>
        </w:tabs>
        <w:spacing w:line="288" w:lineRule="auto"/>
        <w:jc w:val="both"/>
        <w:rPr>
          <w:rFonts w:ascii="Cambria" w:cs="Cambria" w:hAnsi="Cambria" w:eastAsia="Cambria"/>
          <w:sz w:val="22"/>
          <w:szCs w:val="22"/>
        </w:rPr>
      </w:pPr>
    </w:p>
    <w:p>
      <w:pPr>
        <w:pStyle w:val="footer"/>
        <w:tabs>
          <w:tab w:val="left" w:pos="8805"/>
          <w:tab w:val="clear" w:pos="4819"/>
          <w:tab w:val="clear" w:pos="9638"/>
        </w:tabs>
        <w:spacing w:line="288" w:lineRule="auto"/>
        <w:jc w:val="both"/>
        <w:rPr>
          <w:rFonts w:ascii="Cambria" w:cs="Cambria" w:hAnsi="Cambria" w:eastAsia="Cambria"/>
          <w:sz w:val="22"/>
          <w:szCs w:val="22"/>
        </w:rPr>
      </w:pPr>
    </w:p>
    <w:p>
      <w:pPr>
        <w:pStyle w:val="Normal.0"/>
        <w:rPr>
          <w:outline w:val="0"/>
          <w:color w:val="800000"/>
          <w:sz w:val="22"/>
          <w:szCs w:val="22"/>
          <w:u w:color="800000"/>
          <w14:textFill>
            <w14:solidFill>
              <w14:srgbClr w14:val="800000"/>
            </w14:solidFill>
          </w14:textFill>
        </w:rPr>
      </w:pPr>
      <w:r>
        <w:rPr>
          <w:rFonts w:cs="Arial Unicode MS" w:eastAsia="Arial Unicode MS"/>
          <w:rtl w:val="0"/>
          <w:lang w:val="it-IT"/>
        </w:rPr>
        <w:t xml:space="preserve">  </w:t>
      </w:r>
      <w:r>
        <w:rPr>
          <w:rFonts w:cs="Arial Unicode MS" w:eastAsia="Arial Unicode MS"/>
          <w:outline w:val="0"/>
          <w:color w:val="800000"/>
          <w:sz w:val="22"/>
          <w:szCs w:val="22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>RADIAZIONI E USATO A</w:t>
      </w:r>
      <w:r>
        <w:rPr>
          <w:rFonts w:cs="Arial Unicode MS" w:eastAsia="Arial Unicode MS"/>
          <w:outline w:val="0"/>
          <w:color w:val="800000"/>
          <w:sz w:val="22"/>
          <w:szCs w:val="22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>D APRILE</w:t>
      </w:r>
    </w:p>
    <w:p>
      <w:pPr>
        <w:pStyle w:val="Normal.0"/>
        <w:rPr>
          <w:outline w:val="0"/>
          <w:color w:val="800000"/>
          <w:sz w:val="12"/>
          <w:szCs w:val="12"/>
          <w:u w:color="800000"/>
          <w14:textFill>
            <w14:solidFill>
              <w14:srgbClr w14:val="800000"/>
            </w14:solidFill>
          </w14:textFill>
        </w:rPr>
      </w:pPr>
    </w:p>
    <w:tbl>
      <w:tblPr>
        <w:tblW w:w="9323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09"/>
        <w:gridCol w:w="1381"/>
        <w:gridCol w:w="1383"/>
        <w:gridCol w:w="993"/>
        <w:gridCol w:w="1382"/>
        <w:gridCol w:w="1383"/>
        <w:gridCol w:w="992"/>
      </w:tblGrid>
      <w:tr>
        <w:tblPrEx>
          <w:shd w:val="clear" w:color="auto" w:fill="ced7e7"/>
        </w:tblPrEx>
        <w:trPr>
          <w:trHeight w:val="352" w:hRule="atLeast"/>
        </w:trPr>
        <w:tc>
          <w:tcPr>
            <w:tcW w:type="dxa" w:w="1809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5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RADIAZIONI</w:t>
            </w:r>
          </w:p>
        </w:tc>
        <w:tc>
          <w:tcPr>
            <w:tcW w:type="dxa" w:w="375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PASSAGGI DI PROPRIETA</w:t>
            </w: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 xml:space="preserve">’ </w:t>
            </w: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(*)</w:t>
            </w:r>
          </w:p>
        </w:tc>
      </w:tr>
      <w:tr>
        <w:tblPrEx>
          <w:shd w:val="clear" w:color="auto" w:fill="ced7e7"/>
        </w:tblPrEx>
        <w:trPr>
          <w:trHeight w:val="362" w:hRule="atLeast"/>
        </w:trPr>
        <w:tc>
          <w:tcPr>
            <w:tcW w:type="dxa" w:w="1809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APR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 ’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2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3</w:t>
            </w:r>
          </w:p>
        </w:tc>
        <w:tc>
          <w:tcPr>
            <w:tcW w:type="dxa" w:w="1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APR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 ’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2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4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en-US"/>
              </w:rPr>
              <w:t>Var. %</w:t>
            </w:r>
          </w:p>
        </w:tc>
        <w:tc>
          <w:tcPr>
            <w:tcW w:type="dxa" w:w="1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APR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 ’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2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3</w:t>
            </w:r>
          </w:p>
        </w:tc>
        <w:tc>
          <w:tcPr>
            <w:tcW w:type="dxa" w:w="1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APR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 ’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2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4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en-US"/>
              </w:rPr>
              <w:t>Var. %</w:t>
            </w:r>
          </w:p>
        </w:tc>
      </w:tr>
      <w:tr>
        <w:tblPrEx>
          <w:shd w:val="clear" w:color="auto" w:fill="ced7e7"/>
        </w:tblPrEx>
        <w:trPr>
          <w:trHeight w:val="532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AUTO</w:t>
            </w:r>
          </w:p>
        </w:tc>
        <w:tc>
          <w:tcPr>
            <w:tcW w:type="dxa" w:w="1381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68.371</w:t>
            </w:r>
          </w:p>
        </w:tc>
        <w:tc>
          <w:tcPr>
            <w:tcW w:type="dxa" w:w="1383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90.654</w:t>
            </w:r>
          </w:p>
        </w:tc>
        <w:tc>
          <w:tcPr>
            <w:tcW w:type="dxa" w:w="993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32,6</w:t>
            </w:r>
          </w:p>
        </w:tc>
        <w:tc>
          <w:tcPr>
            <w:tcW w:type="dxa" w:w="138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214.476</w:t>
            </w:r>
          </w:p>
        </w:tc>
        <w:tc>
          <w:tcPr>
            <w:tcW w:type="dxa" w:w="1383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256.766</w:t>
            </w:r>
          </w:p>
        </w:tc>
        <w:tc>
          <w:tcPr>
            <w:tcW w:type="dxa" w:w="99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19,7</w:t>
            </w:r>
          </w:p>
        </w:tc>
      </w:tr>
      <w:tr>
        <w:tblPrEx>
          <w:shd w:val="clear" w:color="auto" w:fill="ced7e7"/>
        </w:tblPrEx>
        <w:trPr>
          <w:trHeight w:val="532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MOTO</w:t>
            </w:r>
          </w:p>
        </w:tc>
        <w:tc>
          <w:tcPr>
            <w:tcW w:type="dxa" w:w="1381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8.137</w:t>
            </w:r>
          </w:p>
        </w:tc>
        <w:tc>
          <w:tcPr>
            <w:tcW w:type="dxa" w:w="1383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9.727</w:t>
            </w:r>
          </w:p>
        </w:tc>
        <w:tc>
          <w:tcPr>
            <w:tcW w:type="dxa" w:w="993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19,5</w:t>
            </w:r>
          </w:p>
        </w:tc>
        <w:tc>
          <w:tcPr>
            <w:tcW w:type="dxa" w:w="138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55.771</w:t>
            </w:r>
          </w:p>
        </w:tc>
        <w:tc>
          <w:tcPr>
            <w:tcW w:type="dxa" w:w="1383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66.908</w:t>
            </w:r>
          </w:p>
        </w:tc>
        <w:tc>
          <w:tcPr>
            <w:tcW w:type="dxa" w:w="99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20,0</w:t>
            </w:r>
          </w:p>
        </w:tc>
      </w:tr>
      <w:tr>
        <w:tblPrEx>
          <w:shd w:val="clear" w:color="auto" w:fill="ced7e7"/>
        </w:tblPrEx>
        <w:trPr>
          <w:trHeight w:val="532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TUTTI I VEICOLI</w:t>
            </w:r>
          </w:p>
        </w:tc>
        <w:tc>
          <w:tcPr>
            <w:tcW w:type="dxa" w:w="1381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83.912</w:t>
            </w:r>
          </w:p>
        </w:tc>
        <w:tc>
          <w:tcPr>
            <w:tcW w:type="dxa" w:w="1383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109.484</w:t>
            </w:r>
          </w:p>
        </w:tc>
        <w:tc>
          <w:tcPr>
            <w:tcW w:type="dxa" w:w="993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30,5</w:t>
            </w:r>
          </w:p>
        </w:tc>
        <w:tc>
          <w:tcPr>
            <w:tcW w:type="dxa" w:w="138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305.685</w:t>
            </w:r>
          </w:p>
        </w:tc>
        <w:tc>
          <w:tcPr>
            <w:tcW w:type="dxa" w:w="1383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364.184</w:t>
            </w:r>
          </w:p>
        </w:tc>
        <w:tc>
          <w:tcPr>
            <w:tcW w:type="dxa" w:w="99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19,1</w:t>
            </w:r>
          </w:p>
        </w:tc>
      </w:tr>
    </w:tbl>
    <w:p>
      <w:pPr>
        <w:pStyle w:val="Normal.0"/>
        <w:widowControl w:val="0"/>
        <w:ind w:left="108" w:hanging="108"/>
        <w:rPr>
          <w:outline w:val="0"/>
          <w:color w:val="800000"/>
          <w:sz w:val="12"/>
          <w:szCs w:val="12"/>
          <w:u w:color="800000"/>
          <w14:textFill>
            <w14:solidFill>
              <w14:srgbClr w14:val="800000"/>
            </w14:solidFill>
          </w14:textFill>
        </w:rPr>
      </w:pPr>
    </w:p>
    <w:p>
      <w:pPr>
        <w:pStyle w:val="Normal.0"/>
        <w:widowControl w:val="0"/>
        <w:ind w:left="1" w:hanging="1"/>
        <w:rPr>
          <w:outline w:val="0"/>
          <w:color w:val="800000"/>
          <w:sz w:val="6"/>
          <w:szCs w:val="6"/>
          <w:u w:color="800000"/>
          <w14:textFill>
            <w14:solidFill>
              <w14:srgbClr w14:val="800000"/>
            </w14:solidFill>
          </w14:textFill>
        </w:rPr>
      </w:pPr>
    </w:p>
    <w:p>
      <w:pPr>
        <w:pStyle w:val="Normal.0"/>
        <w:jc w:val="left"/>
        <w:rPr>
          <w:i w:val="1"/>
          <w:iCs w:val="1"/>
        </w:rPr>
      </w:pPr>
      <w:r>
        <w:rPr>
          <w:rtl w:val="0"/>
          <w:lang w:val="it-IT"/>
        </w:rPr>
        <w:t xml:space="preserve">      </w:t>
      </w:r>
      <w:r>
        <w:rPr>
          <w:i w:val="1"/>
          <w:iCs w:val="1"/>
          <w:rtl w:val="0"/>
          <w:lang w:val="it-IT"/>
        </w:rPr>
        <w:t xml:space="preserve">Fonte: ACI </w:t>
      </w:r>
      <w:r>
        <w:rPr>
          <w:i w:val="1"/>
          <w:iCs w:val="1"/>
          <w:rtl w:val="0"/>
          <w:lang w:val="it-IT"/>
        </w:rPr>
        <w:t xml:space="preserve">– </w:t>
      </w:r>
      <w:r>
        <w:rPr>
          <w:i w:val="1"/>
          <w:iCs w:val="1"/>
          <w:rtl w:val="0"/>
          <w:lang w:val="it-IT"/>
        </w:rPr>
        <w:t>Automobile Club d</w:t>
      </w:r>
      <w:r>
        <w:rPr>
          <w:i w:val="1"/>
          <w:iCs w:val="1"/>
          <w:rtl w:val="0"/>
          <w:lang w:val="it-IT"/>
        </w:rPr>
        <w:t>’</w:t>
      </w:r>
      <w:r>
        <w:rPr>
          <w:i w:val="1"/>
          <w:iCs w:val="1"/>
          <w:rtl w:val="0"/>
          <w:lang w:val="it-IT"/>
        </w:rPr>
        <w:t>Italia      (*) Al netto delle minivolture</w:t>
      </w:r>
    </w:p>
    <w:p>
      <w:pPr>
        <w:pStyle w:val="Normal.0"/>
        <w:jc w:val="left"/>
        <w:rPr>
          <w:sz w:val="14"/>
          <w:szCs w:val="14"/>
        </w:rPr>
      </w:pPr>
    </w:p>
    <w:p>
      <w:pPr>
        <w:pStyle w:val="Normal.0"/>
        <w:jc w:val="left"/>
        <w:rPr>
          <w:sz w:val="14"/>
          <w:szCs w:val="14"/>
        </w:rPr>
      </w:pPr>
    </w:p>
    <w:p>
      <w:pPr>
        <w:pStyle w:val="Normal.0"/>
        <w:jc w:val="left"/>
        <w:rPr>
          <w:sz w:val="14"/>
          <w:szCs w:val="14"/>
        </w:rPr>
      </w:pPr>
    </w:p>
    <w:p>
      <w:pPr>
        <w:pStyle w:val="Normal.0"/>
        <w:rPr>
          <w:outline w:val="0"/>
          <w:color w:val="800000"/>
          <w:sz w:val="22"/>
          <w:szCs w:val="22"/>
          <w:u w:color="800000"/>
          <w14:textFill>
            <w14:solidFill>
              <w14:srgbClr w14:val="800000"/>
            </w14:solidFill>
          </w14:textFill>
        </w:rPr>
      </w:pPr>
      <w:r>
        <w:rPr>
          <w:rFonts w:cs="Arial Unicode MS" w:eastAsia="Arial Unicode MS"/>
          <w:rtl w:val="0"/>
          <w:lang w:val="it-IT"/>
        </w:rPr>
        <w:t xml:space="preserve">   </w:t>
      </w:r>
      <w:r>
        <w:rPr>
          <w:rFonts w:cs="Arial Unicode MS" w:eastAsia="Arial Unicode MS"/>
          <w:outline w:val="0"/>
          <w:color w:val="800000"/>
          <w:sz w:val="22"/>
          <w:szCs w:val="22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>RADIAZIONI E USATO DA GENNAIO A</w:t>
      </w:r>
      <w:r>
        <w:rPr>
          <w:rFonts w:cs="Arial Unicode MS" w:eastAsia="Arial Unicode MS"/>
          <w:outline w:val="0"/>
          <w:color w:val="800000"/>
          <w:sz w:val="22"/>
          <w:szCs w:val="22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>D</w:t>
      </w:r>
      <w:r>
        <w:rPr>
          <w:rFonts w:cs="Arial Unicode MS" w:eastAsia="Arial Unicode MS"/>
          <w:outline w:val="0"/>
          <w:color w:val="800000"/>
          <w:sz w:val="22"/>
          <w:szCs w:val="22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 xml:space="preserve"> </w:t>
      </w:r>
      <w:r>
        <w:rPr>
          <w:rFonts w:cs="Arial Unicode MS" w:eastAsia="Arial Unicode MS"/>
          <w:outline w:val="0"/>
          <w:color w:val="800000"/>
          <w:sz w:val="22"/>
          <w:szCs w:val="22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>APRILE</w:t>
      </w:r>
    </w:p>
    <w:p>
      <w:pPr>
        <w:pStyle w:val="Normal.0"/>
        <w:rPr>
          <w:outline w:val="0"/>
          <w:color w:val="800000"/>
          <w:sz w:val="12"/>
          <w:szCs w:val="12"/>
          <w:u w:color="800000"/>
          <w14:textFill>
            <w14:solidFill>
              <w14:srgbClr w14:val="800000"/>
            </w14:solidFill>
          </w14:textFill>
        </w:rPr>
      </w:pPr>
    </w:p>
    <w:tbl>
      <w:tblPr>
        <w:tblW w:w="9756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90"/>
        <w:gridCol w:w="1500"/>
        <w:gridCol w:w="1486"/>
        <w:gridCol w:w="950"/>
        <w:gridCol w:w="1485"/>
        <w:gridCol w:w="1503"/>
        <w:gridCol w:w="942"/>
      </w:tblGrid>
      <w:tr>
        <w:tblPrEx>
          <w:shd w:val="clear" w:color="auto" w:fill="ced7e7"/>
        </w:tblPrEx>
        <w:trPr>
          <w:trHeight w:val="352" w:hRule="atLeast"/>
        </w:trPr>
        <w:tc>
          <w:tcPr>
            <w:tcW w:type="dxa" w:w="189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3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RADIAZIONI</w:t>
            </w:r>
          </w:p>
        </w:tc>
        <w:tc>
          <w:tcPr>
            <w:tcW w:type="dxa" w:w="392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PASSAGGI DI PROPRIETA</w:t>
            </w: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 xml:space="preserve">’ </w:t>
            </w: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(*)</w:t>
            </w:r>
          </w:p>
        </w:tc>
      </w:tr>
      <w:tr>
        <w:tblPrEx>
          <w:shd w:val="clear" w:color="auto" w:fill="ced7e7"/>
        </w:tblPrEx>
        <w:trPr>
          <w:trHeight w:val="362" w:hRule="atLeast"/>
        </w:trPr>
        <w:tc>
          <w:tcPr>
            <w:tcW w:type="dxa" w:w="1890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u w:color="011892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GEN-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APR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 ’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2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3</w:t>
            </w:r>
          </w:p>
        </w:tc>
        <w:tc>
          <w:tcPr>
            <w:tcW w:type="dxa" w:w="1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GEN-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APR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 ’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2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4</w:t>
            </w:r>
          </w:p>
        </w:tc>
        <w:tc>
          <w:tcPr>
            <w:tcW w:type="dxa" w:w="9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en-US"/>
              </w:rPr>
              <w:t>Var. %</w:t>
            </w:r>
          </w:p>
        </w:tc>
        <w:tc>
          <w:tcPr>
            <w:tcW w:type="dxa" w:w="1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GEN-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APR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 ’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2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3</w:t>
            </w:r>
          </w:p>
        </w:tc>
        <w:tc>
          <w:tcPr>
            <w:tcW w:type="dxa" w:w="15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GEN-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APR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 ’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2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4</w:t>
            </w:r>
          </w:p>
        </w:tc>
        <w:tc>
          <w:tcPr>
            <w:tcW w:type="dxa" w:w="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en-US"/>
              </w:rPr>
              <w:t>Var. %</w:t>
            </w:r>
          </w:p>
        </w:tc>
      </w:tr>
      <w:tr>
        <w:tblPrEx>
          <w:shd w:val="clear" w:color="auto" w:fill="ced7e7"/>
        </w:tblPrEx>
        <w:trPr>
          <w:trHeight w:val="532" w:hRule="atLeast"/>
        </w:trPr>
        <w:tc>
          <w:tcPr>
            <w:tcW w:type="dxa" w:w="1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AUTO</w:t>
            </w:r>
          </w:p>
        </w:tc>
        <w:tc>
          <w:tcPr>
            <w:tcW w:type="dxa" w:w="1499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327.914</w:t>
            </w:r>
          </w:p>
        </w:tc>
        <w:tc>
          <w:tcPr>
            <w:tcW w:type="dxa" w:w="1486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415.435</w:t>
            </w:r>
          </w:p>
        </w:tc>
        <w:tc>
          <w:tcPr>
            <w:tcW w:type="dxa" w:w="950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26,7</w:t>
            </w:r>
          </w:p>
        </w:tc>
        <w:tc>
          <w:tcPr>
            <w:tcW w:type="dxa" w:w="1485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965.325</w:t>
            </w:r>
          </w:p>
        </w:tc>
        <w:tc>
          <w:tcPr>
            <w:tcW w:type="dxa" w:w="150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1.067.977</w:t>
            </w:r>
          </w:p>
        </w:tc>
        <w:tc>
          <w:tcPr>
            <w:tcW w:type="dxa" w:w="941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10,6</w:t>
            </w:r>
          </w:p>
        </w:tc>
      </w:tr>
      <w:tr>
        <w:tblPrEx>
          <w:shd w:val="clear" w:color="auto" w:fill="ced7e7"/>
        </w:tblPrEx>
        <w:trPr>
          <w:trHeight w:val="532" w:hRule="atLeast"/>
        </w:trPr>
        <w:tc>
          <w:tcPr>
            <w:tcW w:type="dxa" w:w="1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MOTO</w:t>
            </w:r>
          </w:p>
        </w:tc>
        <w:tc>
          <w:tcPr>
            <w:tcW w:type="dxa" w:w="1499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39.086</w:t>
            </w:r>
          </w:p>
        </w:tc>
        <w:tc>
          <w:tcPr>
            <w:tcW w:type="dxa" w:w="1486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44.623</w:t>
            </w:r>
          </w:p>
        </w:tc>
        <w:tc>
          <w:tcPr>
            <w:tcW w:type="dxa" w:w="950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14,2</w:t>
            </w:r>
          </w:p>
        </w:tc>
        <w:tc>
          <w:tcPr>
            <w:tcW w:type="dxa" w:w="1485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197.499</w:t>
            </w:r>
          </w:p>
        </w:tc>
        <w:tc>
          <w:tcPr>
            <w:tcW w:type="dxa" w:w="150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209.611</w:t>
            </w:r>
          </w:p>
        </w:tc>
        <w:tc>
          <w:tcPr>
            <w:tcW w:type="dxa" w:w="941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6,1</w:t>
            </w:r>
          </w:p>
        </w:tc>
      </w:tr>
      <w:tr>
        <w:tblPrEx>
          <w:shd w:val="clear" w:color="auto" w:fill="ced7e7"/>
        </w:tblPrEx>
        <w:trPr>
          <w:trHeight w:val="532" w:hRule="atLeast"/>
        </w:trPr>
        <w:tc>
          <w:tcPr>
            <w:tcW w:type="dxa" w:w="1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TUTTI I VEICOLI</w:t>
            </w:r>
          </w:p>
        </w:tc>
        <w:tc>
          <w:tcPr>
            <w:tcW w:type="dxa" w:w="1499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404.246</w:t>
            </w:r>
          </w:p>
        </w:tc>
        <w:tc>
          <w:tcPr>
            <w:tcW w:type="dxa" w:w="1486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508.964</w:t>
            </w:r>
          </w:p>
        </w:tc>
        <w:tc>
          <w:tcPr>
            <w:tcW w:type="dxa" w:w="950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25,9</w:t>
            </w:r>
          </w:p>
        </w:tc>
        <w:tc>
          <w:tcPr>
            <w:tcW w:type="dxa" w:w="1485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1.327.801</w:t>
            </w:r>
          </w:p>
        </w:tc>
        <w:tc>
          <w:tcPr>
            <w:tcW w:type="dxa" w:w="150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1.451.612</w:t>
            </w:r>
          </w:p>
        </w:tc>
        <w:tc>
          <w:tcPr>
            <w:tcW w:type="dxa" w:w="941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9,3</w:t>
            </w:r>
          </w:p>
        </w:tc>
      </w:tr>
    </w:tbl>
    <w:p>
      <w:pPr>
        <w:pStyle w:val="Normal.0"/>
        <w:widowControl w:val="0"/>
        <w:ind w:left="108" w:hanging="108"/>
        <w:rPr>
          <w:outline w:val="0"/>
          <w:color w:val="800000"/>
          <w:sz w:val="12"/>
          <w:szCs w:val="12"/>
          <w:u w:color="800000"/>
          <w14:textFill>
            <w14:solidFill>
              <w14:srgbClr w14:val="800000"/>
            </w14:solidFill>
          </w14:textFill>
        </w:rPr>
      </w:pPr>
    </w:p>
    <w:p>
      <w:pPr>
        <w:pStyle w:val="Normal.0"/>
        <w:widowControl w:val="0"/>
        <w:ind w:left="1" w:hanging="1"/>
        <w:rPr>
          <w:outline w:val="0"/>
          <w:color w:val="800000"/>
          <w:sz w:val="6"/>
          <w:szCs w:val="6"/>
          <w:u w:color="800000"/>
          <w14:textFill>
            <w14:solidFill>
              <w14:srgbClr w14:val="800000"/>
            </w14:solidFill>
          </w14:textFill>
        </w:rPr>
      </w:pPr>
    </w:p>
    <w:p>
      <w:pPr>
        <w:pStyle w:val="Normal.0"/>
        <w:jc w:val="left"/>
      </w:pPr>
      <w:r>
        <w:rPr>
          <w:rtl w:val="0"/>
          <w:lang w:val="it-IT"/>
        </w:rPr>
        <w:t xml:space="preserve">      </w:t>
      </w:r>
      <w:r>
        <w:rPr>
          <w:i w:val="1"/>
          <w:iCs w:val="1"/>
          <w:rtl w:val="0"/>
          <w:lang w:val="it-IT"/>
        </w:rPr>
        <w:t xml:space="preserve">Fonte: ACI </w:t>
      </w:r>
      <w:r>
        <w:rPr>
          <w:i w:val="1"/>
          <w:iCs w:val="1"/>
          <w:rtl w:val="0"/>
          <w:lang w:val="it-IT"/>
        </w:rPr>
        <w:t xml:space="preserve">– </w:t>
      </w:r>
      <w:r>
        <w:rPr>
          <w:i w:val="1"/>
          <w:iCs w:val="1"/>
          <w:rtl w:val="0"/>
          <w:lang w:val="it-IT"/>
        </w:rPr>
        <w:t>Automobile Club d</w:t>
      </w:r>
      <w:r>
        <w:rPr>
          <w:i w:val="1"/>
          <w:iCs w:val="1"/>
          <w:rtl w:val="0"/>
          <w:lang w:val="it-IT"/>
        </w:rPr>
        <w:t>’</w:t>
      </w:r>
      <w:r>
        <w:rPr>
          <w:i w:val="1"/>
          <w:iCs w:val="1"/>
          <w:rtl w:val="0"/>
          <w:lang w:val="it-IT"/>
        </w:rPr>
        <w:t>Italia      (*) Al netto delle minivolture</w:t>
      </w:r>
    </w:p>
    <w:p>
      <w:pPr>
        <w:pStyle w:val="Normal.0"/>
        <w:jc w:val="left"/>
        <w:rPr>
          <w:sz w:val="14"/>
          <w:szCs w:val="14"/>
        </w:rPr>
      </w:pPr>
    </w:p>
    <w:p>
      <w:pPr>
        <w:pStyle w:val="Normal.0"/>
        <w:jc w:val="left"/>
        <w:rPr>
          <w:sz w:val="14"/>
          <w:szCs w:val="14"/>
        </w:rPr>
      </w:pPr>
    </w:p>
    <w:p>
      <w:pPr>
        <w:pStyle w:val="Normal.0"/>
        <w:jc w:val="left"/>
        <w:rPr>
          <w:sz w:val="14"/>
          <w:szCs w:val="14"/>
        </w:rPr>
      </w:pPr>
    </w:p>
    <w:p>
      <w:pPr>
        <w:pStyle w:val="Normal.0"/>
        <w:rPr>
          <w:outline w:val="0"/>
          <w:color w:val="800000"/>
          <w:sz w:val="22"/>
          <w:szCs w:val="22"/>
          <w:u w:color="800000"/>
          <w14:textFill>
            <w14:solidFill>
              <w14:srgbClr w14:val="800000"/>
            </w14:solidFill>
          </w14:textFill>
        </w:rPr>
      </w:pPr>
      <w:r>
        <w:rPr>
          <w:rFonts w:cs="Arial Unicode MS" w:eastAsia="Arial Unicode MS"/>
          <w:sz w:val="22"/>
          <w:szCs w:val="22"/>
          <w:rtl w:val="0"/>
          <w:lang w:val="it-IT"/>
        </w:rPr>
        <w:t xml:space="preserve">   </w:t>
      </w:r>
      <w:r>
        <w:rPr>
          <w:rFonts w:cs="Arial Unicode MS" w:eastAsia="Arial Unicode MS"/>
          <w:outline w:val="0"/>
          <w:color w:val="800000"/>
          <w:sz w:val="22"/>
          <w:szCs w:val="22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>202</w:t>
      </w:r>
      <w:r>
        <w:rPr>
          <w:rFonts w:cs="Arial Unicode MS" w:eastAsia="Arial Unicode MS"/>
          <w:outline w:val="0"/>
          <w:color w:val="800000"/>
          <w:sz w:val="22"/>
          <w:szCs w:val="22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>4</w:t>
      </w:r>
      <w:r>
        <w:rPr>
          <w:rFonts w:cs="Arial Unicode MS" w:eastAsia="Arial Unicode MS"/>
          <w:outline w:val="0"/>
          <w:color w:val="800000"/>
          <w:sz w:val="22"/>
          <w:szCs w:val="22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>: RADIAZIONI AUTOVETTURE SECONDO LA CLASSE EURO</w:t>
      </w:r>
    </w:p>
    <w:p>
      <w:pPr>
        <w:pStyle w:val="Normal.0"/>
        <w:rPr>
          <w:outline w:val="0"/>
          <w:color w:val="800000"/>
          <w:sz w:val="12"/>
          <w:szCs w:val="12"/>
          <w:u w:color="800000"/>
          <w14:textFill>
            <w14:solidFill>
              <w14:srgbClr w14:val="800000"/>
            </w14:solidFill>
          </w14:textFill>
        </w:rPr>
      </w:pPr>
    </w:p>
    <w:tbl>
      <w:tblPr>
        <w:tblW w:w="9702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12"/>
        <w:gridCol w:w="620"/>
        <w:gridCol w:w="623"/>
        <w:gridCol w:w="620"/>
        <w:gridCol w:w="622"/>
        <w:gridCol w:w="622"/>
        <w:gridCol w:w="621"/>
        <w:gridCol w:w="622"/>
        <w:gridCol w:w="622"/>
        <w:gridCol w:w="621"/>
        <w:gridCol w:w="622"/>
        <w:gridCol w:w="622"/>
        <w:gridCol w:w="622"/>
        <w:gridCol w:w="831"/>
      </w:tblGrid>
      <w:tr>
        <w:tblPrEx>
          <w:shd w:val="clear" w:color="auto" w:fill="ced7e7"/>
        </w:tblPrEx>
        <w:trPr>
          <w:trHeight w:val="341" w:hRule="atLeast"/>
        </w:trPr>
        <w:tc>
          <w:tcPr>
            <w:tcW w:type="dxa" w:w="14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16"/>
                <w:szCs w:val="16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GEN</w:t>
            </w:r>
          </w:p>
        </w:tc>
        <w:tc>
          <w:tcPr>
            <w:tcW w:type="dxa" w:w="6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16"/>
                <w:szCs w:val="16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FEB</w:t>
            </w:r>
          </w:p>
        </w:tc>
        <w:tc>
          <w:tcPr>
            <w:tcW w:type="dxa" w:w="6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16"/>
                <w:szCs w:val="16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MAR</w:t>
            </w:r>
          </w:p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16"/>
                <w:szCs w:val="16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APR</w:t>
            </w:r>
          </w:p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16"/>
                <w:szCs w:val="16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MAG</w:t>
            </w:r>
          </w:p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16"/>
                <w:szCs w:val="16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GIU</w:t>
            </w:r>
          </w:p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16"/>
                <w:szCs w:val="16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LUG</w:t>
            </w:r>
          </w:p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16"/>
                <w:szCs w:val="16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AGO</w:t>
            </w:r>
          </w:p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16"/>
                <w:szCs w:val="16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SET</w:t>
            </w:r>
          </w:p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16"/>
                <w:szCs w:val="16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OTT</w:t>
            </w:r>
          </w:p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16"/>
                <w:szCs w:val="16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NOV</w:t>
            </w:r>
          </w:p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16"/>
                <w:szCs w:val="16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DIC</w:t>
            </w:r>
          </w:p>
        </w:tc>
        <w:tc>
          <w:tcPr>
            <w:tcW w:type="dxa" w:w="8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16"/>
                <w:szCs w:val="16"/>
                <w:u w:color="000099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TOTALE</w:t>
            </w:r>
          </w:p>
        </w:tc>
      </w:tr>
      <w:tr>
        <w:tblPrEx>
          <w:shd w:val="clear" w:color="auto" w:fill="ced7e7"/>
        </w:tblPrEx>
        <w:trPr>
          <w:trHeight w:val="341" w:hRule="atLeast"/>
        </w:trPr>
        <w:tc>
          <w:tcPr>
            <w:tcW w:type="dxa" w:w="14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left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EURO 0</w:t>
            </w:r>
          </w:p>
        </w:tc>
        <w:tc>
          <w:tcPr>
            <w:tcW w:type="dxa" w:w="6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333333"/>
                  </w14:solidFill>
                </w14:textFill>
              </w:rPr>
              <w:t>0,9%</w:t>
            </w:r>
          </w:p>
        </w:tc>
        <w:tc>
          <w:tcPr>
            <w:tcW w:type="dxa" w:w="6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333333"/>
                  </w14:solidFill>
                </w14:textFill>
              </w:rPr>
              <w:t>2,5%</w:t>
            </w:r>
          </w:p>
        </w:tc>
        <w:tc>
          <w:tcPr>
            <w:tcW w:type="dxa" w:w="6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333333"/>
                  </w14:solidFill>
                </w14:textFill>
              </w:rPr>
              <w:t>0,9%</w:t>
            </w:r>
          </w:p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333333"/>
                  </w14:solidFill>
                </w14:textFill>
              </w:rPr>
              <w:t>0,9%</w:t>
            </w:r>
          </w:p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8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1,4%</w:t>
            </w:r>
          </w:p>
        </w:tc>
      </w:tr>
      <w:tr>
        <w:tblPrEx>
          <w:shd w:val="clear" w:color="auto" w:fill="ced7e7"/>
        </w:tblPrEx>
        <w:trPr>
          <w:trHeight w:val="341" w:hRule="atLeast"/>
        </w:trPr>
        <w:tc>
          <w:tcPr>
            <w:tcW w:type="dxa" w:w="14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left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EURO 1</w:t>
            </w:r>
          </w:p>
        </w:tc>
        <w:tc>
          <w:tcPr>
            <w:tcW w:type="dxa" w:w="6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333333"/>
                  </w14:solidFill>
                </w14:textFill>
              </w:rPr>
              <w:t>1,4%</w:t>
            </w:r>
          </w:p>
        </w:tc>
        <w:tc>
          <w:tcPr>
            <w:tcW w:type="dxa" w:w="6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333333"/>
                  </w14:solidFill>
                </w14:textFill>
              </w:rPr>
              <w:t>3,8%</w:t>
            </w:r>
          </w:p>
        </w:tc>
        <w:tc>
          <w:tcPr>
            <w:tcW w:type="dxa" w:w="6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333333"/>
                  </w14:solidFill>
                </w14:textFill>
              </w:rPr>
              <w:t>1,7%</w:t>
            </w:r>
          </w:p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333333"/>
                  </w14:solidFill>
                </w14:textFill>
              </w:rPr>
              <w:t>1,4%</w:t>
            </w:r>
          </w:p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8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2,3%</w:t>
            </w:r>
          </w:p>
        </w:tc>
      </w:tr>
      <w:tr>
        <w:tblPrEx>
          <w:shd w:val="clear" w:color="auto" w:fill="ced7e7"/>
        </w:tblPrEx>
        <w:trPr>
          <w:trHeight w:val="341" w:hRule="atLeast"/>
        </w:trPr>
        <w:tc>
          <w:tcPr>
            <w:tcW w:type="dxa" w:w="14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left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EURO 2</w:t>
            </w:r>
          </w:p>
        </w:tc>
        <w:tc>
          <w:tcPr>
            <w:tcW w:type="dxa" w:w="6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333333"/>
                  </w14:solidFill>
                </w14:textFill>
              </w:rPr>
              <w:t>12,4%</w:t>
            </w:r>
          </w:p>
        </w:tc>
        <w:tc>
          <w:tcPr>
            <w:tcW w:type="dxa" w:w="6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333333"/>
                  </w14:solidFill>
                </w14:textFill>
              </w:rPr>
              <w:t>13,8%</w:t>
            </w:r>
          </w:p>
        </w:tc>
        <w:tc>
          <w:tcPr>
            <w:tcW w:type="dxa" w:w="6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333333"/>
                  </w14:solidFill>
                </w14:textFill>
              </w:rPr>
              <w:t>15,0%</w:t>
            </w:r>
          </w:p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333333"/>
                  </w14:solidFill>
                </w14:textFill>
              </w:rPr>
              <w:t>12,9%</w:t>
            </w:r>
          </w:p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8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13,5%</w:t>
            </w:r>
          </w:p>
        </w:tc>
      </w:tr>
      <w:tr>
        <w:tblPrEx>
          <w:shd w:val="clear" w:color="auto" w:fill="ced7e7"/>
        </w:tblPrEx>
        <w:trPr>
          <w:trHeight w:val="341" w:hRule="atLeast"/>
        </w:trPr>
        <w:tc>
          <w:tcPr>
            <w:tcW w:type="dxa" w:w="14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left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EURO 3</w:t>
            </w:r>
          </w:p>
        </w:tc>
        <w:tc>
          <w:tcPr>
            <w:tcW w:type="dxa" w:w="6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333333"/>
                  </w14:solidFill>
                </w14:textFill>
              </w:rPr>
              <w:t>21,5%</w:t>
            </w:r>
          </w:p>
        </w:tc>
        <w:tc>
          <w:tcPr>
            <w:tcW w:type="dxa" w:w="6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333333"/>
                  </w14:solidFill>
                </w14:textFill>
              </w:rPr>
              <w:t>18,4%</w:t>
            </w:r>
          </w:p>
        </w:tc>
        <w:tc>
          <w:tcPr>
            <w:tcW w:type="dxa" w:w="6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333333"/>
                  </w14:solidFill>
                </w14:textFill>
              </w:rPr>
              <w:t>24,2%</w:t>
            </w:r>
          </w:p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333333"/>
                  </w14:solidFill>
                </w14:textFill>
              </w:rPr>
              <w:t>22,2%</w:t>
            </w:r>
          </w:p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8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21,3%</w:t>
            </w:r>
          </w:p>
        </w:tc>
      </w:tr>
      <w:tr>
        <w:tblPrEx>
          <w:shd w:val="clear" w:color="auto" w:fill="ced7e7"/>
        </w:tblPrEx>
        <w:trPr>
          <w:trHeight w:val="341" w:hRule="atLeast"/>
        </w:trPr>
        <w:tc>
          <w:tcPr>
            <w:tcW w:type="dxa" w:w="14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left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EURO 4</w:t>
            </w:r>
          </w:p>
        </w:tc>
        <w:tc>
          <w:tcPr>
            <w:tcW w:type="dxa" w:w="6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333333"/>
                  </w14:solidFill>
                </w14:textFill>
              </w:rPr>
              <w:t>36,9%</w:t>
            </w:r>
          </w:p>
        </w:tc>
        <w:tc>
          <w:tcPr>
            <w:tcW w:type="dxa" w:w="6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333333"/>
                  </w14:solidFill>
                </w14:textFill>
              </w:rPr>
              <w:t>30,9%</w:t>
            </w:r>
          </w:p>
        </w:tc>
        <w:tc>
          <w:tcPr>
            <w:tcW w:type="dxa" w:w="6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333333"/>
                  </w14:solidFill>
                </w14:textFill>
              </w:rPr>
              <w:t>34,9%</w:t>
            </w:r>
          </w:p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333333"/>
                  </w14:solidFill>
                </w14:textFill>
              </w:rPr>
              <w:t>38,0%</w:t>
            </w:r>
          </w:p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8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34,8%</w:t>
            </w:r>
          </w:p>
        </w:tc>
      </w:tr>
      <w:tr>
        <w:tblPrEx>
          <w:shd w:val="clear" w:color="auto" w:fill="ced7e7"/>
        </w:tblPrEx>
        <w:trPr>
          <w:trHeight w:val="341" w:hRule="atLeast"/>
        </w:trPr>
        <w:tc>
          <w:tcPr>
            <w:tcW w:type="dxa" w:w="14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left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EURO 5-6</w:t>
            </w:r>
          </w:p>
        </w:tc>
        <w:tc>
          <w:tcPr>
            <w:tcW w:type="dxa" w:w="6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333333"/>
                  </w14:solidFill>
                </w14:textFill>
              </w:rPr>
              <w:t>23,4%</w:t>
            </w:r>
          </w:p>
        </w:tc>
        <w:tc>
          <w:tcPr>
            <w:tcW w:type="dxa" w:w="6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333333"/>
                  </w14:solidFill>
                </w14:textFill>
              </w:rPr>
              <w:t>16,4%</w:t>
            </w:r>
          </w:p>
        </w:tc>
        <w:tc>
          <w:tcPr>
            <w:tcW w:type="dxa" w:w="6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333333"/>
                  </w14:solidFill>
                </w14:textFill>
              </w:rPr>
              <w:t>21,7%</w:t>
            </w:r>
          </w:p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333333"/>
                  </w14:solidFill>
                </w14:textFill>
              </w:rPr>
              <w:t>23,1%</w:t>
            </w:r>
          </w:p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8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20,7%</w:t>
            </w:r>
          </w:p>
        </w:tc>
      </w:tr>
      <w:tr>
        <w:tblPrEx>
          <w:shd w:val="clear" w:color="auto" w:fill="ced7e7"/>
        </w:tblPrEx>
        <w:trPr>
          <w:trHeight w:val="341" w:hRule="atLeast"/>
        </w:trPr>
        <w:tc>
          <w:tcPr>
            <w:tcW w:type="dxa" w:w="14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left"/>
            </w:pPr>
            <w:r>
              <w:rPr>
                <w:outline w:val="0"/>
                <w:color w:val="000099"/>
                <w:sz w:val="16"/>
                <w:szCs w:val="16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 xml:space="preserve">Non identificato </w:t>
            </w:r>
          </w:p>
        </w:tc>
        <w:tc>
          <w:tcPr>
            <w:tcW w:type="dxa" w:w="6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333333"/>
                  </w14:solidFill>
                </w14:textFill>
              </w:rPr>
              <w:t>3,6%</w:t>
            </w:r>
          </w:p>
        </w:tc>
        <w:tc>
          <w:tcPr>
            <w:tcW w:type="dxa" w:w="6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333333"/>
                  </w14:solidFill>
                </w14:textFill>
              </w:rPr>
              <w:t>14,2%</w:t>
            </w:r>
          </w:p>
        </w:tc>
        <w:tc>
          <w:tcPr>
            <w:tcW w:type="dxa" w:w="6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333333"/>
                  </w14:solidFill>
                </w14:textFill>
              </w:rPr>
              <w:t>1,6%</w:t>
            </w:r>
          </w:p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333333"/>
                  </w14:solidFill>
                </w14:textFill>
              </w:rPr>
              <w:t>1,4%</w:t>
            </w:r>
          </w:p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8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6,0%</w:t>
            </w:r>
          </w:p>
        </w:tc>
      </w:tr>
    </w:tbl>
    <w:p>
      <w:pPr>
        <w:pStyle w:val="Normal.0"/>
        <w:widowControl w:val="0"/>
        <w:ind w:left="108" w:hanging="108"/>
        <w:rPr>
          <w:outline w:val="0"/>
          <w:color w:val="800000"/>
          <w:sz w:val="12"/>
          <w:szCs w:val="12"/>
          <w:u w:color="800000"/>
          <w14:textFill>
            <w14:solidFill>
              <w14:srgbClr w14:val="800000"/>
            </w14:solidFill>
          </w14:textFill>
        </w:rPr>
      </w:pPr>
    </w:p>
    <w:p>
      <w:pPr>
        <w:pStyle w:val="Normal.0"/>
        <w:rPr>
          <w:outline w:val="0"/>
          <w:color w:val="800000"/>
          <w:sz w:val="6"/>
          <w:szCs w:val="6"/>
          <w:u w:color="800000"/>
          <w14:textFill>
            <w14:solidFill>
              <w14:srgbClr w14:val="800000"/>
            </w14:solidFill>
          </w14:textFill>
        </w:rPr>
      </w:pPr>
    </w:p>
    <w:p>
      <w:pPr>
        <w:pStyle w:val="Normal.0"/>
        <w:jc w:val="left"/>
        <w:rPr>
          <w:i w:val="1"/>
          <w:iCs w:val="1"/>
        </w:rPr>
      </w:pPr>
      <w:r>
        <w:rPr>
          <w:outline w:val="0"/>
          <w:color w:val="800000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 xml:space="preserve">      </w:t>
      </w:r>
      <w:r>
        <w:rPr>
          <w:i w:val="1"/>
          <w:iCs w:val="1"/>
          <w:rtl w:val="0"/>
          <w:lang w:val="it-IT"/>
        </w:rPr>
        <w:t xml:space="preserve">Fonte: ACI </w:t>
      </w:r>
      <w:r>
        <w:rPr>
          <w:i w:val="1"/>
          <w:iCs w:val="1"/>
          <w:rtl w:val="0"/>
          <w:lang w:val="it-IT"/>
        </w:rPr>
        <w:t xml:space="preserve">– </w:t>
      </w:r>
      <w:r>
        <w:rPr>
          <w:i w:val="1"/>
          <w:iCs w:val="1"/>
          <w:rtl w:val="0"/>
          <w:lang w:val="it-IT"/>
        </w:rPr>
        <w:t>Automobile Club d</w:t>
      </w:r>
      <w:r>
        <w:rPr>
          <w:i w:val="1"/>
          <w:iCs w:val="1"/>
          <w:rtl w:val="0"/>
          <w:lang w:val="it-IT"/>
        </w:rPr>
        <w:t>’</w:t>
      </w:r>
      <w:r>
        <w:rPr>
          <w:i w:val="1"/>
          <w:iCs w:val="1"/>
          <w:rtl w:val="0"/>
          <w:lang w:val="it-IT"/>
        </w:rPr>
        <w:t>Italia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  <w:rPr>
          <w:sz w:val="22"/>
          <w:szCs w:val="22"/>
        </w:rPr>
      </w:pPr>
      <w:r>
        <w:rPr>
          <w:rFonts w:cs="Arial Unicode MS" w:eastAsia="Arial Unicode MS"/>
          <w:sz w:val="22"/>
          <w:szCs w:val="22"/>
          <w:rtl w:val="0"/>
          <w:lang w:val="it-IT"/>
        </w:rPr>
        <w:t xml:space="preserve"> </w:t>
      </w:r>
    </w:p>
    <w:p>
      <w:pPr>
        <w:pStyle w:val="Normal.0"/>
        <w:rPr>
          <w:sz w:val="22"/>
          <w:szCs w:val="22"/>
        </w:rPr>
      </w:pPr>
    </w:p>
    <w:p>
      <w:pPr>
        <w:pStyle w:val="Normal.0"/>
        <w:rPr>
          <w:sz w:val="22"/>
          <w:szCs w:val="22"/>
        </w:rPr>
      </w:pPr>
    </w:p>
    <w:p>
      <w:pPr>
        <w:pStyle w:val="Normal.0"/>
        <w:rPr>
          <w:outline w:val="0"/>
          <w:color w:val="800000"/>
          <w:sz w:val="22"/>
          <w:szCs w:val="22"/>
          <w:u w:color="800000"/>
          <w14:textFill>
            <w14:solidFill>
              <w14:srgbClr w14:val="800000"/>
            </w14:solidFill>
          </w14:textFill>
        </w:rPr>
      </w:pPr>
      <w:r>
        <w:rPr>
          <w:rFonts w:cs="Arial Unicode MS" w:eastAsia="Arial Unicode MS"/>
          <w:sz w:val="22"/>
          <w:szCs w:val="22"/>
          <w:rtl w:val="0"/>
          <w:lang w:val="it-IT"/>
        </w:rPr>
        <w:t xml:space="preserve">  </w:t>
      </w:r>
      <w:r>
        <w:rPr>
          <w:rFonts w:cs="Arial Unicode MS" w:eastAsia="Arial Unicode MS"/>
          <w:outline w:val="0"/>
          <w:color w:val="800000"/>
          <w:sz w:val="22"/>
          <w:szCs w:val="22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>CONFRONTO</w:t>
      </w:r>
      <w:r>
        <w:rPr>
          <w:rFonts w:cs="Arial Unicode MS" w:eastAsia="Arial Unicode MS"/>
          <w:outline w:val="0"/>
          <w:color w:val="800000"/>
          <w:sz w:val="22"/>
          <w:szCs w:val="22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 xml:space="preserve"> </w:t>
      </w:r>
      <w:r>
        <w:rPr>
          <w:rFonts w:cs="Arial Unicode MS" w:eastAsia="Arial Unicode MS"/>
          <w:outline w:val="0"/>
          <w:color w:val="800000"/>
          <w:sz w:val="22"/>
          <w:szCs w:val="22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>PASSAGGI AUTOVETTURE PER ALIMENTAZIONE</w:t>
      </w:r>
    </w:p>
    <w:p>
      <w:pPr>
        <w:pStyle w:val="Normal.0"/>
        <w:rPr>
          <w:sz w:val="12"/>
          <w:szCs w:val="12"/>
        </w:rPr>
      </w:pPr>
    </w:p>
    <w:tbl>
      <w:tblPr>
        <w:tblW w:w="9334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60"/>
        <w:gridCol w:w="1252"/>
        <w:gridCol w:w="1251"/>
        <w:gridCol w:w="1027"/>
        <w:gridCol w:w="1271"/>
        <w:gridCol w:w="1277"/>
        <w:gridCol w:w="1096"/>
      </w:tblGrid>
      <w:tr>
        <w:tblPrEx>
          <w:shd w:val="clear" w:color="auto" w:fill="ced7e7"/>
        </w:tblPrEx>
        <w:trPr>
          <w:trHeight w:val="412" w:hRule="atLeast"/>
        </w:trPr>
        <w:tc>
          <w:tcPr>
            <w:tcW w:type="dxa" w:w="21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78"/>
            <w:gridSpan w:val="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QUOTA DI MERCATO (%)</w:t>
            </w:r>
          </w:p>
        </w:tc>
        <w:tc>
          <w:tcPr>
            <w:tcW w:type="dxa" w:w="10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21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it-IT"/>
              </w:rPr>
              <w:t>APR</w:t>
            </w:r>
            <w:r>
              <w:rPr>
                <w:u w:color="011892"/>
                <w:rtl w:val="0"/>
                <w:lang w:val="it-IT"/>
              </w:rPr>
              <w:t xml:space="preserve"> ’</w:t>
            </w:r>
            <w:r>
              <w:rPr>
                <w:u w:color="011892"/>
                <w:rtl w:val="0"/>
                <w:lang w:val="it-IT"/>
              </w:rPr>
              <w:t>2</w:t>
            </w:r>
            <w:r>
              <w:rPr>
                <w:u w:color="011892"/>
                <w:rtl w:val="0"/>
                <w:lang w:val="it-IT"/>
              </w:rPr>
              <w:t>3</w:t>
            </w:r>
          </w:p>
        </w:tc>
        <w:tc>
          <w:tcPr>
            <w:tcW w:type="dxa" w:w="12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it-IT"/>
              </w:rPr>
              <w:t>APR</w:t>
            </w:r>
            <w:r>
              <w:rPr>
                <w:u w:color="011892"/>
                <w:rtl w:val="0"/>
                <w:lang w:val="it-IT"/>
              </w:rPr>
              <w:t xml:space="preserve"> ’</w:t>
            </w:r>
            <w:r>
              <w:rPr>
                <w:u w:color="011892"/>
                <w:rtl w:val="0"/>
                <w:lang w:val="it-IT"/>
              </w:rPr>
              <w:t>2</w:t>
            </w:r>
            <w:r>
              <w:rPr>
                <w:u w:color="011892"/>
                <w:rtl w:val="0"/>
                <w:lang w:val="it-IT"/>
              </w:rPr>
              <w:t>4</w:t>
            </w:r>
          </w:p>
        </w:tc>
        <w:tc>
          <w:tcPr>
            <w:tcW w:type="dxa" w:w="10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</w:pPr>
            <w:r>
              <w:rPr>
                <w:u w:color="011892"/>
                <w:rtl w:val="0"/>
                <w:lang w:val="it-IT"/>
              </w:rPr>
              <w:t>Var. %</w:t>
            </w:r>
          </w:p>
        </w:tc>
        <w:tc>
          <w:tcPr>
            <w:tcW w:type="dxa" w:w="12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u w:color="011892"/>
                <w:rtl w:val="0"/>
                <w:lang w:val="it-IT"/>
              </w:rPr>
              <w:t>GEN-</w:t>
            </w:r>
            <w:r>
              <w:rPr>
                <w:u w:color="011892"/>
                <w:rtl w:val="0"/>
                <w:lang w:val="it-IT"/>
              </w:rPr>
              <w:t>APR</w:t>
            </w:r>
            <w:r>
              <w:rPr>
                <w:u w:color="011892"/>
                <w:rtl w:val="0"/>
                <w:lang w:val="it-IT"/>
              </w:rPr>
              <w:t xml:space="preserve"> ’</w:t>
            </w:r>
            <w:r>
              <w:rPr>
                <w:u w:color="011892"/>
                <w:rtl w:val="0"/>
                <w:lang w:val="it-IT"/>
              </w:rPr>
              <w:t>2</w:t>
            </w:r>
            <w:r>
              <w:rPr>
                <w:u w:color="011892"/>
                <w:rtl w:val="0"/>
                <w:lang w:val="it-IT"/>
              </w:rPr>
              <w:t>3</w:t>
            </w:r>
          </w:p>
        </w:tc>
        <w:tc>
          <w:tcPr>
            <w:tcW w:type="dxa" w:w="12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u w:color="011892"/>
                <w:rtl w:val="0"/>
                <w:lang w:val="it-IT"/>
              </w:rPr>
              <w:t>GEN-</w:t>
            </w:r>
            <w:r>
              <w:rPr>
                <w:u w:color="011892"/>
                <w:rtl w:val="0"/>
                <w:lang w:val="it-IT"/>
              </w:rPr>
              <w:t>APR</w:t>
            </w:r>
            <w:r>
              <w:rPr>
                <w:u w:color="011892"/>
                <w:rtl w:val="0"/>
                <w:lang w:val="it-IT"/>
              </w:rPr>
              <w:t xml:space="preserve"> ’</w:t>
            </w:r>
            <w:r>
              <w:rPr>
                <w:u w:color="011892"/>
                <w:rtl w:val="0"/>
                <w:lang w:val="it-IT"/>
              </w:rPr>
              <w:t>2</w:t>
            </w:r>
            <w:r>
              <w:rPr>
                <w:u w:color="011892"/>
                <w:rtl w:val="0"/>
                <w:lang w:val="it-IT"/>
              </w:rPr>
              <w:t>4</w:t>
            </w:r>
          </w:p>
        </w:tc>
        <w:tc>
          <w:tcPr>
            <w:tcW w:type="dxa" w:w="10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u w:color="011892"/>
                <w:rtl w:val="0"/>
                <w:lang w:val="it-IT"/>
              </w:rPr>
              <w:t>Var. %</w:t>
            </w:r>
          </w:p>
        </w:tc>
      </w:tr>
      <w:tr>
        <w:tblPrEx>
          <w:shd w:val="clear" w:color="auto" w:fill="ced7e7"/>
        </w:tblPrEx>
        <w:trPr>
          <w:trHeight w:val="420" w:hRule="atLeast"/>
        </w:trPr>
        <w:tc>
          <w:tcPr>
            <w:tcW w:type="dxa" w:w="21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 </w:t>
            </w:r>
          </w:p>
        </w:tc>
        <w:tc>
          <w:tcPr>
            <w:tcW w:type="dxa" w:w="6078"/>
            <w:gridSpan w:val="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4"/>
                <w:szCs w:val="24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PASSAGGI AL NETTO MINIVOLTURE</w:t>
            </w:r>
          </w:p>
        </w:tc>
        <w:tc>
          <w:tcPr>
            <w:tcW w:type="dxa" w:w="10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21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 xml:space="preserve">BENZINA </w:t>
            </w:r>
          </w:p>
        </w:tc>
        <w:tc>
          <w:tcPr>
            <w:tcW w:type="dxa" w:w="12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36,2%</w:t>
            </w:r>
          </w:p>
        </w:tc>
        <w:tc>
          <w:tcPr>
            <w:tcW w:type="dxa" w:w="12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36,5%</w:t>
            </w:r>
          </w:p>
        </w:tc>
        <w:tc>
          <w:tcPr>
            <w:tcW w:type="dxa" w:w="10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21,1</w:t>
            </w:r>
          </w:p>
        </w:tc>
        <w:tc>
          <w:tcPr>
            <w:tcW w:type="dxa" w:w="12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37,2%</w:t>
            </w:r>
          </w:p>
        </w:tc>
        <w:tc>
          <w:tcPr>
            <w:tcW w:type="dxa" w:w="12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36,8%</w:t>
            </w:r>
          </w:p>
        </w:tc>
        <w:tc>
          <w:tcPr>
            <w:tcW w:type="dxa" w:w="10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10,0</w:t>
            </w:r>
          </w:p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21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DIESEL</w:t>
            </w:r>
          </w:p>
        </w:tc>
        <w:tc>
          <w:tcPr>
            <w:tcW w:type="dxa" w:w="12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47,5%</w:t>
            </w:r>
          </w:p>
        </w:tc>
        <w:tc>
          <w:tcPr>
            <w:tcW w:type="dxa" w:w="12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44,7%</w:t>
            </w:r>
          </w:p>
        </w:tc>
        <w:tc>
          <w:tcPr>
            <w:tcW w:type="dxa" w:w="10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12,9</w:t>
            </w:r>
          </w:p>
        </w:tc>
        <w:tc>
          <w:tcPr>
            <w:tcW w:type="dxa" w:w="12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46,6%</w:t>
            </w:r>
          </w:p>
        </w:tc>
        <w:tc>
          <w:tcPr>
            <w:tcW w:type="dxa" w:w="12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44,7%</w:t>
            </w:r>
          </w:p>
        </w:tc>
        <w:tc>
          <w:tcPr>
            <w:tcW w:type="dxa" w:w="10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6,6</w:t>
            </w:r>
          </w:p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21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BENZINA/GPL</w:t>
            </w:r>
          </w:p>
        </w:tc>
        <w:tc>
          <w:tcPr>
            <w:tcW w:type="dxa" w:w="12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6,9%</w:t>
            </w:r>
          </w:p>
        </w:tc>
        <w:tc>
          <w:tcPr>
            <w:tcW w:type="dxa" w:w="12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7,4%</w:t>
            </w:r>
          </w:p>
        </w:tc>
        <w:tc>
          <w:tcPr>
            <w:tcW w:type="dxa" w:w="10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28,4</w:t>
            </w:r>
          </w:p>
        </w:tc>
        <w:tc>
          <w:tcPr>
            <w:tcW w:type="dxa" w:w="12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7,1%</w:t>
            </w:r>
          </w:p>
        </w:tc>
        <w:tc>
          <w:tcPr>
            <w:tcW w:type="dxa" w:w="12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7,5%</w:t>
            </w:r>
          </w:p>
        </w:tc>
        <w:tc>
          <w:tcPr>
            <w:tcW w:type="dxa" w:w="10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17,1</w:t>
            </w:r>
          </w:p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21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BENZINA/METANO</w:t>
            </w:r>
          </w:p>
        </w:tc>
        <w:tc>
          <w:tcPr>
            <w:tcW w:type="dxa" w:w="12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2,0%</w:t>
            </w:r>
          </w:p>
        </w:tc>
        <w:tc>
          <w:tcPr>
            <w:tcW w:type="dxa" w:w="12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1,9%</w:t>
            </w:r>
          </w:p>
        </w:tc>
        <w:tc>
          <w:tcPr>
            <w:tcW w:type="dxa" w:w="10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14,5</w:t>
            </w:r>
          </w:p>
        </w:tc>
        <w:tc>
          <w:tcPr>
            <w:tcW w:type="dxa" w:w="12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2,1%</w:t>
            </w:r>
          </w:p>
        </w:tc>
        <w:tc>
          <w:tcPr>
            <w:tcW w:type="dxa" w:w="12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1,9%</w:t>
            </w:r>
          </w:p>
        </w:tc>
        <w:tc>
          <w:tcPr>
            <w:tcW w:type="dxa" w:w="10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1,3</w:t>
            </w:r>
          </w:p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21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METANO</w:t>
            </w:r>
          </w:p>
        </w:tc>
        <w:tc>
          <w:tcPr>
            <w:tcW w:type="dxa" w:w="12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0,6%</w:t>
            </w:r>
          </w:p>
        </w:tc>
        <w:tc>
          <w:tcPr>
            <w:tcW w:type="dxa" w:w="12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0,5%</w:t>
            </w:r>
          </w:p>
        </w:tc>
        <w:tc>
          <w:tcPr>
            <w:tcW w:type="dxa" w:w="10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3,3</w:t>
            </w:r>
          </w:p>
        </w:tc>
        <w:tc>
          <w:tcPr>
            <w:tcW w:type="dxa" w:w="12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0,6%</w:t>
            </w:r>
          </w:p>
        </w:tc>
        <w:tc>
          <w:tcPr>
            <w:tcW w:type="dxa" w:w="12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0,5%</w:t>
            </w:r>
          </w:p>
        </w:tc>
        <w:tc>
          <w:tcPr>
            <w:tcW w:type="dxa" w:w="10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FF0000"/>
                  </w14:solidFill>
                </w14:textFill>
              </w:rPr>
              <w:t>-2,1</w:t>
            </w:r>
          </w:p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21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ELETTRICO</w:t>
            </w:r>
          </w:p>
        </w:tc>
        <w:tc>
          <w:tcPr>
            <w:tcW w:type="dxa" w:w="12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0,4%</w:t>
            </w:r>
          </w:p>
        </w:tc>
        <w:tc>
          <w:tcPr>
            <w:tcW w:type="dxa" w:w="12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0,7%</w:t>
            </w:r>
          </w:p>
        </w:tc>
        <w:tc>
          <w:tcPr>
            <w:tcW w:type="dxa" w:w="10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90,7</w:t>
            </w:r>
          </w:p>
        </w:tc>
        <w:tc>
          <w:tcPr>
            <w:tcW w:type="dxa" w:w="12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0,4%</w:t>
            </w:r>
          </w:p>
        </w:tc>
        <w:tc>
          <w:tcPr>
            <w:tcW w:type="dxa" w:w="12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0,7%</w:t>
            </w:r>
          </w:p>
        </w:tc>
        <w:tc>
          <w:tcPr>
            <w:tcW w:type="dxa" w:w="10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66,5</w:t>
            </w:r>
          </w:p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21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en-US"/>
                <w14:textFill>
                  <w14:solidFill>
                    <w14:srgbClr w14:val="000099"/>
                  </w14:solidFill>
                </w14:textFill>
              </w:rPr>
              <w:t>IBRIDO-BENZINA</w:t>
            </w:r>
          </w:p>
        </w:tc>
        <w:tc>
          <w:tcPr>
            <w:tcW w:type="dxa" w:w="12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5,2%</w:t>
            </w:r>
          </w:p>
        </w:tc>
        <w:tc>
          <w:tcPr>
            <w:tcW w:type="dxa" w:w="12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6,6%</w:t>
            </w:r>
          </w:p>
        </w:tc>
        <w:tc>
          <w:tcPr>
            <w:tcW w:type="dxa" w:w="10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53,0</w:t>
            </w:r>
          </w:p>
        </w:tc>
        <w:tc>
          <w:tcPr>
            <w:tcW w:type="dxa" w:w="12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4,8%</w:t>
            </w:r>
          </w:p>
        </w:tc>
        <w:tc>
          <w:tcPr>
            <w:tcW w:type="dxa" w:w="12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6,4%</w:t>
            </w:r>
          </w:p>
        </w:tc>
        <w:tc>
          <w:tcPr>
            <w:tcW w:type="dxa" w:w="10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48,0</w:t>
            </w:r>
          </w:p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21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en-US"/>
                <w14:textFill>
                  <w14:solidFill>
                    <w14:srgbClr w14:val="000099"/>
                  </w14:solidFill>
                </w14:textFill>
              </w:rPr>
              <w:t>IBRIDO-GASOLIO</w:t>
            </w:r>
          </w:p>
        </w:tc>
        <w:tc>
          <w:tcPr>
            <w:tcW w:type="dxa" w:w="12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0,7%</w:t>
            </w:r>
          </w:p>
        </w:tc>
        <w:tc>
          <w:tcPr>
            <w:tcW w:type="dxa" w:w="12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1,2%</w:t>
            </w:r>
          </w:p>
        </w:tc>
        <w:tc>
          <w:tcPr>
            <w:tcW w:type="dxa" w:w="10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103,8</w:t>
            </w:r>
          </w:p>
        </w:tc>
        <w:tc>
          <w:tcPr>
            <w:tcW w:type="dxa" w:w="12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0,7%</w:t>
            </w:r>
          </w:p>
        </w:tc>
        <w:tc>
          <w:tcPr>
            <w:tcW w:type="dxa" w:w="12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1,2%</w:t>
            </w:r>
          </w:p>
        </w:tc>
        <w:tc>
          <w:tcPr>
            <w:tcW w:type="dxa" w:w="10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90,8</w:t>
            </w:r>
          </w:p>
        </w:tc>
      </w:tr>
      <w:tr>
        <w:tblPrEx>
          <w:shd w:val="clear" w:color="auto" w:fill="ced7e7"/>
        </w:tblPrEx>
        <w:trPr>
          <w:trHeight w:val="420" w:hRule="atLeast"/>
        </w:trPr>
        <w:tc>
          <w:tcPr>
            <w:tcW w:type="dxa" w:w="21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078"/>
            <w:gridSpan w:val="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4"/>
                <w:szCs w:val="24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MINIVOLTURE</w:t>
            </w:r>
          </w:p>
        </w:tc>
        <w:tc>
          <w:tcPr>
            <w:tcW w:type="dxa" w:w="10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21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 xml:space="preserve">BENZINA </w:t>
            </w:r>
          </w:p>
        </w:tc>
        <w:tc>
          <w:tcPr>
            <w:tcW w:type="dxa" w:w="12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29,2%</w:t>
            </w:r>
          </w:p>
        </w:tc>
        <w:tc>
          <w:tcPr>
            <w:tcW w:type="dxa" w:w="12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30,2%</w:t>
            </w:r>
          </w:p>
        </w:tc>
        <w:tc>
          <w:tcPr>
            <w:tcW w:type="dxa" w:w="10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26,3</w:t>
            </w:r>
          </w:p>
        </w:tc>
        <w:tc>
          <w:tcPr>
            <w:tcW w:type="dxa" w:w="12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29,2%</w:t>
            </w:r>
          </w:p>
        </w:tc>
        <w:tc>
          <w:tcPr>
            <w:tcW w:type="dxa" w:w="12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29,8%</w:t>
            </w:r>
          </w:p>
        </w:tc>
        <w:tc>
          <w:tcPr>
            <w:tcW w:type="dxa" w:w="10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14,7</w:t>
            </w:r>
          </w:p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21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DIESEL</w:t>
            </w:r>
          </w:p>
        </w:tc>
        <w:tc>
          <w:tcPr>
            <w:tcW w:type="dxa" w:w="12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53,4%</w:t>
            </w:r>
          </w:p>
        </w:tc>
        <w:tc>
          <w:tcPr>
            <w:tcW w:type="dxa" w:w="12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48,9%</w:t>
            </w:r>
          </w:p>
        </w:tc>
        <w:tc>
          <w:tcPr>
            <w:tcW w:type="dxa" w:w="10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11,8</w:t>
            </w:r>
          </w:p>
        </w:tc>
        <w:tc>
          <w:tcPr>
            <w:tcW w:type="dxa" w:w="12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53,1%</w:t>
            </w:r>
          </w:p>
        </w:tc>
        <w:tc>
          <w:tcPr>
            <w:tcW w:type="dxa" w:w="12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49,4%</w:t>
            </w:r>
          </w:p>
        </w:tc>
        <w:tc>
          <w:tcPr>
            <w:tcW w:type="dxa" w:w="10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4,6</w:t>
            </w:r>
          </w:p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21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BENZINA/GPL</w:t>
            </w:r>
          </w:p>
        </w:tc>
        <w:tc>
          <w:tcPr>
            <w:tcW w:type="dxa" w:w="12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7,3%</w:t>
            </w:r>
          </w:p>
        </w:tc>
        <w:tc>
          <w:tcPr>
            <w:tcW w:type="dxa" w:w="12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7,3%</w:t>
            </w:r>
          </w:p>
        </w:tc>
        <w:tc>
          <w:tcPr>
            <w:tcW w:type="dxa" w:w="10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21,5</w:t>
            </w:r>
          </w:p>
        </w:tc>
        <w:tc>
          <w:tcPr>
            <w:tcW w:type="dxa" w:w="12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7,3%</w:t>
            </w:r>
          </w:p>
        </w:tc>
        <w:tc>
          <w:tcPr>
            <w:tcW w:type="dxa" w:w="12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7,5%</w:t>
            </w:r>
          </w:p>
        </w:tc>
        <w:tc>
          <w:tcPr>
            <w:tcW w:type="dxa" w:w="10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15,2</w:t>
            </w:r>
          </w:p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21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BENZINA/METANO</w:t>
            </w:r>
          </w:p>
        </w:tc>
        <w:tc>
          <w:tcPr>
            <w:tcW w:type="dxa" w:w="12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1,9%</w:t>
            </w:r>
          </w:p>
        </w:tc>
        <w:tc>
          <w:tcPr>
            <w:tcW w:type="dxa" w:w="12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1,7%</w:t>
            </w:r>
          </w:p>
        </w:tc>
        <w:tc>
          <w:tcPr>
            <w:tcW w:type="dxa" w:w="10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8,1</w:t>
            </w:r>
          </w:p>
        </w:tc>
        <w:tc>
          <w:tcPr>
            <w:tcW w:type="dxa" w:w="12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2,0%</w:t>
            </w:r>
          </w:p>
        </w:tc>
        <w:tc>
          <w:tcPr>
            <w:tcW w:type="dxa" w:w="12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1,7%</w:t>
            </w:r>
          </w:p>
        </w:tc>
        <w:tc>
          <w:tcPr>
            <w:tcW w:type="dxa" w:w="10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FF0000"/>
                  </w14:solidFill>
                </w14:textFill>
              </w:rPr>
              <w:t>-2,0</w:t>
            </w:r>
          </w:p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21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METANO</w:t>
            </w:r>
          </w:p>
        </w:tc>
        <w:tc>
          <w:tcPr>
            <w:tcW w:type="dxa" w:w="12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0,6%</w:t>
            </w:r>
          </w:p>
        </w:tc>
        <w:tc>
          <w:tcPr>
            <w:tcW w:type="dxa" w:w="12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0,5%</w:t>
            </w:r>
          </w:p>
        </w:tc>
        <w:tc>
          <w:tcPr>
            <w:tcW w:type="dxa" w:w="10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7,4</w:t>
            </w:r>
          </w:p>
        </w:tc>
        <w:tc>
          <w:tcPr>
            <w:tcW w:type="dxa" w:w="12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0,7%</w:t>
            </w:r>
          </w:p>
        </w:tc>
        <w:tc>
          <w:tcPr>
            <w:tcW w:type="dxa" w:w="12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0,6%</w:t>
            </w:r>
          </w:p>
        </w:tc>
        <w:tc>
          <w:tcPr>
            <w:tcW w:type="dxa" w:w="10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2,4</w:t>
            </w:r>
          </w:p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21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ELETTRICO</w:t>
            </w:r>
          </w:p>
        </w:tc>
        <w:tc>
          <w:tcPr>
            <w:tcW w:type="dxa" w:w="12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0,8%</w:t>
            </w:r>
          </w:p>
        </w:tc>
        <w:tc>
          <w:tcPr>
            <w:tcW w:type="dxa" w:w="12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1,1%</w:t>
            </w:r>
          </w:p>
        </w:tc>
        <w:tc>
          <w:tcPr>
            <w:tcW w:type="dxa" w:w="10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78,3</w:t>
            </w:r>
          </w:p>
        </w:tc>
        <w:tc>
          <w:tcPr>
            <w:tcW w:type="dxa" w:w="12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0,8%</w:t>
            </w:r>
          </w:p>
        </w:tc>
        <w:tc>
          <w:tcPr>
            <w:tcW w:type="dxa" w:w="12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1,0%</w:t>
            </w:r>
          </w:p>
        </w:tc>
        <w:tc>
          <w:tcPr>
            <w:tcW w:type="dxa" w:w="10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49,6</w:t>
            </w:r>
          </w:p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21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en-US"/>
                <w14:textFill>
                  <w14:solidFill>
                    <w14:srgbClr w14:val="000099"/>
                  </w14:solidFill>
                </w14:textFill>
              </w:rPr>
              <w:t>IBRIDO-BENZINA</w:t>
            </w:r>
          </w:p>
        </w:tc>
        <w:tc>
          <w:tcPr>
            <w:tcW w:type="dxa" w:w="12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5,6%</w:t>
            </w:r>
          </w:p>
        </w:tc>
        <w:tc>
          <w:tcPr>
            <w:tcW w:type="dxa" w:w="12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8,6%</w:t>
            </w:r>
          </w:p>
        </w:tc>
        <w:tc>
          <w:tcPr>
            <w:tcW w:type="dxa" w:w="10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86,5</w:t>
            </w:r>
          </w:p>
        </w:tc>
        <w:tc>
          <w:tcPr>
            <w:tcW w:type="dxa" w:w="12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5,8%</w:t>
            </w:r>
          </w:p>
        </w:tc>
        <w:tc>
          <w:tcPr>
            <w:tcW w:type="dxa" w:w="12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8,2%</w:t>
            </w:r>
          </w:p>
        </w:tc>
        <w:tc>
          <w:tcPr>
            <w:tcW w:type="dxa" w:w="10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60,1</w:t>
            </w:r>
          </w:p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21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en-US"/>
                <w14:textFill>
                  <w14:solidFill>
                    <w14:srgbClr w14:val="000099"/>
                  </w14:solidFill>
                </w14:textFill>
              </w:rPr>
              <w:t>IBRIDO-GASOLIO</w:t>
            </w:r>
          </w:p>
        </w:tc>
        <w:tc>
          <w:tcPr>
            <w:tcW w:type="dxa" w:w="12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1,1%</w:t>
            </w:r>
          </w:p>
        </w:tc>
        <w:tc>
          <w:tcPr>
            <w:tcW w:type="dxa" w:w="12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1,6%</w:t>
            </w:r>
          </w:p>
        </w:tc>
        <w:tc>
          <w:tcPr>
            <w:tcW w:type="dxa" w:w="10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79,0</w:t>
            </w:r>
          </w:p>
        </w:tc>
        <w:tc>
          <w:tcPr>
            <w:tcW w:type="dxa" w:w="12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1,1%</w:t>
            </w:r>
          </w:p>
        </w:tc>
        <w:tc>
          <w:tcPr>
            <w:tcW w:type="dxa" w:w="12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1,7%</w:t>
            </w:r>
          </w:p>
        </w:tc>
        <w:tc>
          <w:tcPr>
            <w:tcW w:type="dxa" w:w="10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78,9</w:t>
            </w:r>
          </w:p>
        </w:tc>
      </w:tr>
    </w:tbl>
    <w:p>
      <w:pPr>
        <w:pStyle w:val="Normal.0"/>
        <w:widowControl w:val="0"/>
        <w:ind w:left="108" w:hanging="108"/>
        <w:rPr>
          <w:sz w:val="12"/>
          <w:szCs w:val="12"/>
        </w:rPr>
      </w:pPr>
    </w:p>
    <w:p>
      <w:pPr>
        <w:pStyle w:val="Normal.0"/>
        <w:widowControl w:val="0"/>
        <w:rPr>
          <w:sz w:val="6"/>
          <w:szCs w:val="6"/>
        </w:rPr>
      </w:pPr>
    </w:p>
    <w:p>
      <w:pPr>
        <w:pStyle w:val="Normal.0"/>
        <w:widowControl w:val="0"/>
        <w:rPr>
          <w:sz w:val="6"/>
          <w:szCs w:val="6"/>
        </w:rPr>
      </w:pPr>
    </w:p>
    <w:p>
      <w:pPr>
        <w:pStyle w:val="Normal.0"/>
        <w:jc w:val="left"/>
        <w:rPr>
          <w:i w:val="1"/>
          <w:iCs w:val="1"/>
        </w:rPr>
      </w:pPr>
      <w:r>
        <w:rPr>
          <w:rtl w:val="0"/>
          <w:lang w:val="it-IT"/>
        </w:rPr>
        <w:t xml:space="preserve">             </w:t>
      </w:r>
      <w:r>
        <w:rPr>
          <w:i w:val="1"/>
          <w:iCs w:val="1"/>
          <w:rtl w:val="0"/>
          <w:lang w:val="it-IT"/>
        </w:rPr>
        <w:t xml:space="preserve">Fonte: ACI </w:t>
      </w:r>
      <w:r>
        <w:rPr>
          <w:i w:val="1"/>
          <w:iCs w:val="1"/>
          <w:rtl w:val="0"/>
          <w:lang w:val="it-IT"/>
        </w:rPr>
        <w:t xml:space="preserve">– </w:t>
      </w:r>
      <w:r>
        <w:rPr>
          <w:i w:val="1"/>
          <w:iCs w:val="1"/>
          <w:rtl w:val="0"/>
          <w:lang w:val="it-IT"/>
        </w:rPr>
        <w:t>Automobile Club d</w:t>
      </w:r>
      <w:r>
        <w:rPr>
          <w:i w:val="1"/>
          <w:iCs w:val="1"/>
          <w:rtl w:val="0"/>
          <w:lang w:val="it-IT"/>
        </w:rPr>
        <w:t>’</w:t>
      </w:r>
      <w:r>
        <w:rPr>
          <w:i w:val="1"/>
          <w:iCs w:val="1"/>
          <w:rtl w:val="0"/>
          <w:lang w:val="it-IT"/>
        </w:rPr>
        <w:t>Italia</w:t>
      </w:r>
    </w:p>
    <w:p>
      <w:pPr>
        <w:pStyle w:val="Normal.0"/>
        <w:jc w:val="left"/>
      </w:pPr>
      <w:r>
        <w:rPr>
          <w:i w:val="1"/>
          <w:iCs w:val="1"/>
          <w:rtl w:val="0"/>
          <w:lang w:val="it-IT"/>
        </w:rPr>
        <w:t xml:space="preserve">             NOTA: Le variazioni percentuali sono calcolate rispetto ai valori assoluti delle formalit</w:t>
      </w:r>
      <w:r>
        <w:rPr>
          <w:i w:val="1"/>
          <w:iCs w:val="1"/>
          <w:rtl w:val="0"/>
          <w:lang w:val="it-IT"/>
        </w:rPr>
        <w:t xml:space="preserve">à </w:t>
      </w:r>
      <w:r>
        <w:rPr>
          <w:i w:val="1"/>
          <w:iCs w:val="1"/>
          <w:rtl w:val="0"/>
          <w:lang w:val="it-IT"/>
        </w:rPr>
        <w:t>non inseriti in tabella.</w:t>
      </w:r>
    </w:p>
    <w:p>
      <w:pPr>
        <w:pStyle w:val="Normal.0"/>
        <w:jc w:val="left"/>
        <w:rPr>
          <w:sz w:val="22"/>
          <w:szCs w:val="22"/>
        </w:rPr>
      </w:pPr>
    </w:p>
    <w:p>
      <w:pPr>
        <w:pStyle w:val="Normal.0"/>
        <w:jc w:val="left"/>
        <w:rPr>
          <w:sz w:val="22"/>
          <w:szCs w:val="22"/>
        </w:rPr>
      </w:pPr>
    </w:p>
    <w:p>
      <w:pPr>
        <w:pStyle w:val="Normal.0"/>
        <w:jc w:val="left"/>
        <w:rPr>
          <w:sz w:val="22"/>
          <w:szCs w:val="22"/>
        </w:rPr>
      </w:pPr>
    </w:p>
    <w:p>
      <w:pPr>
        <w:pStyle w:val="Normal.0"/>
        <w:jc w:val="left"/>
        <w:rPr>
          <w:sz w:val="22"/>
          <w:szCs w:val="22"/>
        </w:rPr>
      </w:pPr>
    </w:p>
    <w:p>
      <w:pPr>
        <w:pStyle w:val="Normal.0"/>
        <w:jc w:val="left"/>
        <w:rPr>
          <w:sz w:val="22"/>
          <w:szCs w:val="22"/>
        </w:rPr>
      </w:pPr>
    </w:p>
    <w:p>
      <w:pPr>
        <w:pStyle w:val="Normal.0"/>
        <w:jc w:val="left"/>
        <w:rPr>
          <w:sz w:val="22"/>
          <w:szCs w:val="22"/>
        </w:rPr>
      </w:pPr>
    </w:p>
    <w:p>
      <w:pPr>
        <w:pStyle w:val="Normal.0"/>
        <w:jc w:val="left"/>
        <w:rPr>
          <w:sz w:val="22"/>
          <w:szCs w:val="22"/>
        </w:rPr>
      </w:pPr>
    </w:p>
    <w:p>
      <w:pPr>
        <w:pStyle w:val="Normal.0"/>
        <w:jc w:val="left"/>
        <w:rPr>
          <w:sz w:val="22"/>
          <w:szCs w:val="22"/>
        </w:rPr>
      </w:pPr>
    </w:p>
    <w:p>
      <w:pPr>
        <w:pStyle w:val="Normal.0"/>
        <w:rPr>
          <w:sz w:val="22"/>
          <w:szCs w:val="22"/>
        </w:rPr>
      </w:pPr>
      <w:r>
        <w:rPr>
          <w:rFonts w:cs="Arial Unicode MS" w:eastAsia="Arial Unicode MS"/>
          <w:outline w:val="0"/>
          <w:color w:val="800000"/>
          <w:sz w:val="22"/>
          <w:szCs w:val="22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>AUTOVETTURE: QUADRO PROVINCIALE (</w:t>
      </w:r>
      <w:r>
        <w:rPr>
          <w:rFonts w:cs="Arial Unicode MS" w:eastAsia="Arial Unicode MS"/>
          <w:outline w:val="0"/>
          <w:color w:val="800000"/>
          <w:sz w:val="22"/>
          <w:szCs w:val="22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>Aprile</w:t>
      </w:r>
      <w:r>
        <w:rPr>
          <w:rFonts w:cs="Arial Unicode MS" w:eastAsia="Arial Unicode MS"/>
          <w:outline w:val="0"/>
          <w:color w:val="800000"/>
          <w:sz w:val="22"/>
          <w:szCs w:val="22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 xml:space="preserve"> 202</w:t>
      </w:r>
      <w:r>
        <w:rPr>
          <w:rFonts w:cs="Arial Unicode MS" w:eastAsia="Arial Unicode MS"/>
          <w:outline w:val="0"/>
          <w:color w:val="800000"/>
          <w:sz w:val="22"/>
          <w:szCs w:val="22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>4</w:t>
      </w:r>
      <w:r>
        <w:rPr>
          <w:rFonts w:cs="Arial Unicode MS" w:eastAsia="Arial Unicode MS"/>
          <w:outline w:val="0"/>
          <w:color w:val="800000"/>
          <w:sz w:val="22"/>
          <w:szCs w:val="22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>)</w:t>
      </w:r>
    </w:p>
    <w:p>
      <w:pPr>
        <w:pStyle w:val="Normal.0"/>
        <w:rPr>
          <w:outline w:val="0"/>
          <w:color w:val="800000"/>
          <w:sz w:val="12"/>
          <w:szCs w:val="12"/>
          <w:u w:color="800000"/>
          <w14:textFill>
            <w14:solidFill>
              <w14:srgbClr w14:val="800000"/>
            </w14:solidFill>
          </w14:textFill>
        </w:rPr>
      </w:pPr>
    </w:p>
    <w:tbl>
      <w:tblPr>
        <w:tblW w:w="9279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52"/>
        <w:gridCol w:w="1120"/>
        <w:gridCol w:w="1120"/>
        <w:gridCol w:w="1123"/>
        <w:gridCol w:w="1120"/>
        <w:gridCol w:w="1120"/>
        <w:gridCol w:w="1124"/>
      </w:tblGrid>
      <w:tr>
        <w:tblPrEx>
          <w:shd w:val="clear" w:color="auto" w:fill="ced7e7"/>
        </w:tblPrEx>
        <w:trPr>
          <w:trHeight w:val="385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000080"/>
                <w:sz w:val="20"/>
                <w:szCs w:val="20"/>
                <w:u w:color="000080"/>
                <w:shd w:val="nil" w:color="auto" w:fill="auto"/>
                <w:rtl w:val="0"/>
                <w:lang w:val="it-IT"/>
                <w14:textFill>
                  <w14:solidFill>
                    <w14:srgbClr w14:val="000080"/>
                  </w14:solidFill>
                </w14:textFill>
              </w:rPr>
              <w:t> </w:t>
            </w:r>
          </w:p>
        </w:tc>
        <w:tc>
          <w:tcPr>
            <w:tcW w:type="dxa" w:w="3363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RADIAZIONI</w:t>
            </w:r>
          </w:p>
        </w:tc>
        <w:tc>
          <w:tcPr>
            <w:tcW w:type="dxa" w:w="3364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PASSAGGI NETTI</w:t>
            </w:r>
          </w:p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outline w:val="0"/>
                <w:color w:val="000099"/>
                <w:sz w:val="22"/>
                <w:szCs w:val="22"/>
                <w:u w:color="000099"/>
                <w:shd w:val="nil" w:color="auto" w:fill="auto"/>
                <w:lang w:val="it-IT"/>
                <w14:textFill>
                  <w14:solidFill>
                    <w14:srgbClr w14:val="000099"/>
                  </w14:solidFill>
                </w14:textFill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outline w:val="0"/>
                <w:color w:val="000099"/>
                <w:sz w:val="22"/>
                <w:szCs w:val="22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Provincia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2"/>
                <w:szCs w:val="22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202</w:t>
            </w:r>
            <w:r>
              <w:rPr>
                <w:outline w:val="0"/>
                <w:color w:val="000099"/>
                <w:sz w:val="22"/>
                <w:szCs w:val="22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2"/>
                <w:szCs w:val="22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202</w:t>
            </w:r>
            <w:r>
              <w:rPr>
                <w:outline w:val="0"/>
                <w:color w:val="000099"/>
                <w:sz w:val="22"/>
                <w:szCs w:val="22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4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2"/>
                <w:szCs w:val="22"/>
                <w:u w:color="000099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 xml:space="preserve"> Var. %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2"/>
                <w:szCs w:val="22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202</w:t>
            </w:r>
            <w:r>
              <w:rPr>
                <w:outline w:val="0"/>
                <w:color w:val="000099"/>
                <w:sz w:val="22"/>
                <w:szCs w:val="22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2"/>
                <w:szCs w:val="22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202</w:t>
            </w:r>
            <w:r>
              <w:rPr>
                <w:outline w:val="0"/>
                <w:color w:val="000099"/>
                <w:sz w:val="22"/>
                <w:szCs w:val="22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4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2"/>
                <w:szCs w:val="22"/>
                <w:u w:color="000099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 xml:space="preserve"> Var. %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AL (Alessandria)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528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670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26,9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1.623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1.939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19,5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AT (Asti) 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248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355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43,0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837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1.053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25,8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BI (Biella) 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289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42,6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760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857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12,7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CN (Cuneo)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768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917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19,5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2.309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2.602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12,7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NO (Novara)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416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542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30,3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1.319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1.602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21,4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TO (Torino)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2.002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2.724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36,1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7.971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9.958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24,9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VB (Verbania)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183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281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53,8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634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721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13,7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VC (Vercelli)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215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270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25,8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658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805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22,3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PIEMONTE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4.563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6.049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32,6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16.111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19.536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21,3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AO (Aosta)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197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206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4,7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554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709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27,9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VALLE D'AOSTA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197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206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4,7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554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709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27,9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BG (Bergamo)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1.142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1.391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21,8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3.726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4.548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22,1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BS (Brescia)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1.369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1.933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41,2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4.752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5.751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21,0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CO (Como)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746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1.049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40,6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2.114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2.635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24,6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CR (Cremona)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414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566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36,7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1.141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1.526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33,7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LC (Lecco)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395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532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34,6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1.089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1.351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24,1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LO (Lodi)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234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401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71,2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763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953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24,9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MN (Mantova)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509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709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39,3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1.584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1.866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17,8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MI (Milano)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3.877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6.651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71,6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9.473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11.309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19,4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MB (Monza Brianza)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974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1.188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22,0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2.666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3.370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26,4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PV (Pavia)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678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915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35,0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2.128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2.514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18,1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SO (Sondrio)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290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42,4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665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852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28,1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VA (Varese)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1.013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1.414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39,6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3.141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3.766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19,9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LOMBARDIA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11.555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17.040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47,5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33.242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40.439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21,7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BZ (Bolzano)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860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1.163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35,2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3.245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2.430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-25,1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TN (Trento)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1.042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972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-6,8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2.372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2.897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22,1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TRENTINO A.A.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1.902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2.134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12,2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5.617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5.327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-5,2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BL (Belluno)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251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313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24,9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725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902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24,4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PD (Padova)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1.149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1.475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28,4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3.128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3.832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22,5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RO (Rovigo)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295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398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34,8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780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1.030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32,1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TV (Treviso)  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1.116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1.536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37,7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2.918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3.682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26,2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VE (Venezia)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847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1.170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38,1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2.586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2.992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15,7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VR (Verona)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1.472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1.398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-5,0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3.440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4.073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18,4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VI (Vicenza)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1.208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1.641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35,8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3.150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3.796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20,5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VENETO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6.338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7.931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25,1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16.727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20.307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21,4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GO (Gorizia)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170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218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28,4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505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632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25,1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PN (Pordenone)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514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683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32,9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1.141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1.344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17,8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TS (Trieste) 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297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43,0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680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830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22,0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UD (Udine)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821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1.127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37,2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1.925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2.487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29,2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FRIULI V.G.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1.713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2.326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35,8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4.251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5.292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24,5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GE (Genova) 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707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859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21,5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2.289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2.698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17,9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IM (Imperia) 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173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194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12,3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726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915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26,0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SP (La Spezia)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227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247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9,0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706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836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18,4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SV (Savona)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237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323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36,1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906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1.083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19,5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LIGURIA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1.344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1.624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20,8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4.627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5.532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19,6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BO (Bologna)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1.017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1.361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33,8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3.359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3.867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15,1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FE (Ferrara)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469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512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9,1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1.162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1.458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25,5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FO (Forl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ì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498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582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16,8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1.440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1.664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15,5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MO (Modena)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788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1.142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44,9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2.632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3.285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24,8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PR (Parma)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480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588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22,5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1.688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2.031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20,3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PC (Piacenza)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288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394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36,7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1.106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1.310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18,5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RA (Ravenna)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527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634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20,3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1.395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1.676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20,1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RE (Reggio Emilia)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768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1.037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35,0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2.088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2.554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22,3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RN (Rimini)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375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486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29,5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1.008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1.255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24,5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EMILIA ROMAGNA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5.210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6.735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29,3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15.878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19.101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20,3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432ff"/>
                <w:sz w:val="20"/>
                <w:szCs w:val="20"/>
                <w:u w:color="000099"/>
                <w:rtl w:val="0"/>
                <w:lang w:val="it-IT"/>
                <w14:textFill>
                  <w14:solidFill>
                    <w14:srgbClr w14:val="0433FF"/>
                  </w14:solidFill>
                </w14:textFill>
              </w:rPr>
              <w:t>NORD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433FF"/>
                  </w14:solidFill>
                </w14:textFill>
              </w:rPr>
              <w:t>32.822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433FF"/>
                  </w14:solidFill>
                </w14:textFill>
              </w:rPr>
              <w:t>44.045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433FF"/>
                  </w14:solidFill>
                </w14:textFill>
              </w:rPr>
              <w:t>34,2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433FF"/>
                  </w14:solidFill>
                </w14:textFill>
              </w:rPr>
              <w:t>97.007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433FF"/>
                  </w14:solidFill>
                </w14:textFill>
              </w:rPr>
              <w:t>116.243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433FF"/>
                  </w14:solidFill>
                </w14:textFill>
              </w:rPr>
              <w:t>19,8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AR (Arezzo) 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361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489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35,4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1.427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1.576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10,4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FI (Firenze) 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1.473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2.236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51,8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3.195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3.658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14,5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GR (Grosseto)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257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324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25,9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951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1.008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6,0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LI (Livorno)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318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452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42,0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1.047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1.401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33,9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LU (Lucca)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393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527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34,1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1.350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1.524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12,9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MS (Massa Carrara)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170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225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32,6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670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715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6,7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PI (Pisa)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407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561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37,8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1.394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1.679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20,4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PT (Pistoia)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428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518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21,0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1.140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1.374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20,6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PO (Prato) 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172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508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195,2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882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973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10,3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SI (Siena) 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314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349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11,0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1.020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1.211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18,7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TOSCANA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4.293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6.188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44,1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13.076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15.118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15,6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PG (Perugia)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736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1.123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52,5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2.629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3.164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20,4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TR (Terni) 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281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374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32,9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796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1.107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39,1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UMBRIA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1.017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1.496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47,1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3.425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4.271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24,7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AN (Ancona)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580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731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26,1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1.650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1.969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19,3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AP (Ascoli Piceno) 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226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310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37,4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641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851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32,7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FM (Fermo)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214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233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9,0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581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698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20,1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MC (Macerata)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364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468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28,5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1.131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1.332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17,8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PU (Pesaro e Urbino)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266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424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59,3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1.100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1.258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14,4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MARCHE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1.650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2.166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31,3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5.103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6.108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19,7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FR (Frosinone)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590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688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16,6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1.963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2.335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19,0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LT (Latina)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669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821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22,8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2.148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2.612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21,6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RI (Rieti) 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335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60,8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671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777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15,8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RM (Roma)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5.550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7.448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34,2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15.518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18.346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18,2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VT (Viterbo)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529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610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15,3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1.356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1.634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20,5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LAZIO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7.546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9.901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31,2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21.656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25.703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18,7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432ff"/>
                <w:sz w:val="20"/>
                <w:szCs w:val="20"/>
                <w:u w:color="000099"/>
                <w:rtl w:val="0"/>
                <w:lang w:val="it-IT"/>
                <w14:textFill>
                  <w14:solidFill>
                    <w14:srgbClr w14:val="0433FF"/>
                  </w14:solidFill>
                </w14:textFill>
              </w:rPr>
              <w:t>CENTRO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433FF"/>
                  </w14:solidFill>
                </w14:textFill>
              </w:rPr>
              <w:t>14.506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433FF"/>
                  </w14:solidFill>
                </w14:textFill>
              </w:rPr>
              <w:t>19.752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433FF"/>
                  </w14:solidFill>
                </w14:textFill>
              </w:rPr>
              <w:t>36,2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433FF"/>
                  </w14:solidFill>
                </w14:textFill>
              </w:rPr>
              <w:t>43.260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433FF"/>
                  </w14:solidFill>
                </w14:textFill>
              </w:rPr>
              <w:t>51.201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433FF"/>
                  </w14:solidFill>
                </w14:textFill>
              </w:rPr>
              <w:t>18,4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AQ (L'Aquila)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304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447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46,9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1.074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1.331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24,0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CH (Chieti)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425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648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52,5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1.271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1.632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28,4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PE (Pescara)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317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443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39,7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1.127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1.274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13,1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TE (Teramo)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416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501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20,4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1.159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1.392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20,1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ABRUZZO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1.462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2.038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39,4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4.631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5.630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21,6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CB (Campobasso)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229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346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50,9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882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1.028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16,6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IS (Isernia)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113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128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13,5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362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436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20,6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MOLISE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342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474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38,5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1.244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1.464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17,7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AV (Avellino)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456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515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12,9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1.449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1.737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19,9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BN (Benevento)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240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361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50,2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985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1.205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22,4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CE (Caserta)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930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1.303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40,1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3.398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4.151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22,2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NA (Napoli) 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2.918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3.933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34,8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9.245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12.051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30,4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SA (Salerno)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963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1.095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13,7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3.946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4.885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23,8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CAMPANIA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5.507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7.206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30,9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19.023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24.030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26,3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BA (Bari)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1.421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1.885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32,6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4.692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5.611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19,6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BT </w:t>
            </w:r>
            <w:r>
              <w:rPr>
                <w:u w:color="011892"/>
                <w:shd w:val="nil" w:color="auto" w:fill="auto"/>
                <w:rtl w:val="0"/>
                <w:lang w:val="it-IT"/>
              </w:rPr>
              <w:t>(Barletta Andria Trani)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461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705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53,0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1.401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1.656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18,2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BR (Brindisi)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429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515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20,0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1.545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1.894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22,6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FG (Foggia)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630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914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45,1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2.385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3.062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28,4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LE (Lecce)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943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1.318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39,8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2.903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3.486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20,1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TA (Taranto)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533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711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33,4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2.171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2.578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18,7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PUGLIA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4.417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6.048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36,9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15.097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18.286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21,1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MT (Matera) 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183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260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42,3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684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861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25,9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PZ (Potenza)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395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407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2,9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1.343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1.550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15,4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BASILICATA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578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667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15,4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2.027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2.410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18,9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CZ (Catanzaro)     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328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545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66,1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1.244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1.491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19,8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CS (Cosenza)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526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766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45,7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2.691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3.241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20,4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KR (Crotone)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134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140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4,6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519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698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34,4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RC (Reggio Calabria)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380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513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34,9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1.896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2.226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17,4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VV (Vibo Valentia)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107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130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21,7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565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653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15,5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CALABRIA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1.475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2.094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42,0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6.915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8.308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20,2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AG (Agrigento)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523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526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0,5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1.435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1.726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20,3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CL (Caltanissetta)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282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279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-0,9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839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1.048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24,9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CT (Catania)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1.215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1.335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9,9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4.559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5.431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19,1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EN (Enna) 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156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163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4,7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565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680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20,3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ME (Messina)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587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645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9,9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2.029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2.461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21,3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PA (Palermo) 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1.275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1.578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23,8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4.183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4.758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13,7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RG (Ragusa)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354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440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24,2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1.411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1.395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-1,1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SR (Siracusa)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468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486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3,8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1.648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1.780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8,0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TP (Trapani)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497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565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13,7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1.682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1.853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10,2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SICILIA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5.357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6.017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12,3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18.351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21.131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15,1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CA (Cagliari)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536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690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28,7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1.786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2.041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14,3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NU (Nuoro)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246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324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31,5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911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1.080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18,6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OR (Oristano)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212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194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-8,3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617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762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23,5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SS (Sassari)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612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771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26,0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2.164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2.454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13,4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SU (Sud Sardegna)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299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333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11,2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1.443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1.727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19,7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SARDEGNA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1.905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2.312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21,3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6.921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8.063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16,5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432ff"/>
                <w:sz w:val="20"/>
                <w:szCs w:val="20"/>
                <w:u w:color="000099"/>
                <w:rtl w:val="0"/>
                <w:lang w:val="it-IT"/>
                <w14:textFill>
                  <w14:solidFill>
                    <w14:srgbClr w14:val="0433FF"/>
                  </w14:solidFill>
                </w14:textFill>
              </w:rPr>
              <w:t>SUD E ISOLE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433FF"/>
                  </w14:solidFill>
                </w14:textFill>
              </w:rPr>
              <w:t>21.043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433FF"/>
                  </w14:solidFill>
                </w14:textFill>
              </w:rPr>
              <w:t>26.857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433FF"/>
                  </w14:solidFill>
                </w14:textFill>
              </w:rPr>
              <w:t>27,6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433FF"/>
                  </w14:solidFill>
                </w14:textFill>
              </w:rPr>
              <w:t>74.209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433FF"/>
                  </w14:solidFill>
                </w14:textFill>
              </w:rPr>
              <w:t>89.322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433FF"/>
                  </w14:solidFill>
                </w14:textFill>
              </w:rPr>
              <w:t>20,4</w:t>
            </w:r>
          </w:p>
        </w:tc>
      </w:tr>
    </w:tbl>
    <w:p>
      <w:pPr>
        <w:pStyle w:val="Normal.0"/>
        <w:widowControl w:val="0"/>
        <w:ind w:left="108" w:hanging="108"/>
        <w:rPr>
          <w:outline w:val="0"/>
          <w:color w:val="800000"/>
          <w:sz w:val="12"/>
          <w:szCs w:val="12"/>
          <w:u w:color="800000"/>
          <w14:textFill>
            <w14:solidFill>
              <w14:srgbClr w14:val="800000"/>
            </w14:solidFill>
          </w14:textFill>
        </w:rPr>
      </w:pPr>
    </w:p>
    <w:p>
      <w:pPr>
        <w:pStyle w:val="Normal.0"/>
        <w:widowControl w:val="0"/>
        <w:ind w:left="595" w:hanging="595"/>
        <w:rPr>
          <w:outline w:val="0"/>
          <w:color w:val="800000"/>
          <w:sz w:val="12"/>
          <w:szCs w:val="12"/>
          <w:u w:color="800000"/>
          <w14:textFill>
            <w14:solidFill>
              <w14:srgbClr w14:val="800000"/>
            </w14:solidFill>
          </w14:textFill>
        </w:rPr>
      </w:pPr>
    </w:p>
    <w:p>
      <w:pPr>
        <w:pStyle w:val="Normal.0"/>
        <w:widowControl w:val="0"/>
        <w:ind w:left="55" w:hanging="55"/>
        <w:rPr>
          <w:outline w:val="0"/>
          <w:color w:val="800000"/>
          <w:sz w:val="6"/>
          <w:szCs w:val="6"/>
          <w:u w:color="800000"/>
          <w14:textFill>
            <w14:solidFill>
              <w14:srgbClr w14:val="800000"/>
            </w14:solidFill>
          </w14:textFill>
        </w:rPr>
      </w:pPr>
    </w:p>
    <w:p>
      <w:pPr>
        <w:pStyle w:val="Normal.0"/>
        <w:jc w:val="left"/>
      </w:pPr>
      <w:r>
        <w:rPr>
          <w:rtl w:val="0"/>
          <w:lang w:val="it-IT"/>
        </w:rPr>
        <w:t xml:space="preserve">        </w:t>
      </w:r>
      <w:r>
        <w:rPr>
          <w:i w:val="1"/>
          <w:iCs w:val="1"/>
          <w:rtl w:val="0"/>
          <w:lang w:val="it-IT"/>
        </w:rPr>
        <w:t xml:space="preserve">Fonte: ACI </w:t>
      </w:r>
      <w:r>
        <w:rPr>
          <w:i w:val="1"/>
          <w:iCs w:val="1"/>
          <w:rtl w:val="0"/>
          <w:lang w:val="it-IT"/>
        </w:rPr>
        <w:t xml:space="preserve">– </w:t>
      </w:r>
      <w:r>
        <w:rPr>
          <w:i w:val="1"/>
          <w:iCs w:val="1"/>
          <w:rtl w:val="0"/>
          <w:lang w:val="it-IT"/>
        </w:rPr>
        <w:t>Automobile Club d</w:t>
      </w:r>
      <w:r>
        <w:rPr>
          <w:i w:val="1"/>
          <w:iCs w:val="1"/>
          <w:rtl w:val="0"/>
          <w:lang w:val="it-IT"/>
        </w:rPr>
        <w:t>’</w:t>
      </w:r>
      <w:r>
        <w:rPr>
          <w:i w:val="1"/>
          <w:iCs w:val="1"/>
          <w:rtl w:val="0"/>
          <w:lang w:val="it-IT"/>
        </w:rPr>
        <w:t>Italia</w:t>
      </w:r>
    </w:p>
    <w:sectPr>
      <w:headerReference w:type="default" r:id="rId5"/>
      <w:footerReference w:type="default" r:id="rId6"/>
      <w:pgSz w:w="11900" w:h="16840" w:orient="portrait"/>
      <w:pgMar w:top="539" w:right="926" w:bottom="851" w:left="1080" w:header="708" w:footer="29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pBdr>
        <w:top w:val="single" w:color="000000" w:sz="4" w:space="0" w:shadow="0" w:frame="0"/>
        <w:left w:val="nil"/>
        <w:bottom w:val="nil"/>
        <w:right w:val="nil"/>
      </w:pBdr>
      <w:rPr>
        <w:b w:val="1"/>
        <w:bCs w:val="1"/>
        <w:sz w:val="16"/>
        <w:szCs w:val="16"/>
      </w:rPr>
    </w:pPr>
    <w:r>
      <w:rPr>
        <w:b w:val="1"/>
        <w:bCs w:val="1"/>
        <w:sz w:val="16"/>
        <w:szCs w:val="16"/>
        <w:rtl w:val="0"/>
        <w:lang w:val="it-IT"/>
      </w:rPr>
      <w:t xml:space="preserve">ACI </w:t>
    </w:r>
    <w:r>
      <w:rPr>
        <w:b w:val="1"/>
        <w:bCs w:val="1"/>
        <w:sz w:val="16"/>
        <w:szCs w:val="16"/>
        <w:rtl w:val="0"/>
        <w:lang w:val="it-IT"/>
      </w:rPr>
      <w:t xml:space="preserve">– </w:t>
    </w:r>
    <w:r>
      <w:rPr>
        <w:b w:val="1"/>
        <w:bCs w:val="1"/>
        <w:sz w:val="16"/>
        <w:szCs w:val="16"/>
        <w:rtl w:val="0"/>
        <w:lang w:val="it-IT"/>
      </w:rPr>
      <w:t>AUTOMOBILE CLUB D</w:t>
    </w:r>
    <w:r>
      <w:rPr>
        <w:b w:val="1"/>
        <w:bCs w:val="1"/>
        <w:sz w:val="16"/>
        <w:szCs w:val="16"/>
        <w:rtl w:val="0"/>
        <w:lang w:val="it-IT"/>
      </w:rPr>
      <w:t>’</w:t>
    </w:r>
    <w:r>
      <w:rPr>
        <w:b w:val="1"/>
        <w:bCs w:val="1"/>
        <w:sz w:val="16"/>
        <w:szCs w:val="16"/>
        <w:rtl w:val="0"/>
        <w:lang w:val="it-IT"/>
      </w:rPr>
      <w:t>ITALIA</w:t>
    </w:r>
  </w:p>
  <w:p>
    <w:pPr>
      <w:pStyle w:val="footer"/>
      <w:rPr>
        <w:i w:val="1"/>
        <w:iCs w:val="1"/>
        <w:sz w:val="16"/>
        <w:szCs w:val="16"/>
      </w:rPr>
    </w:pPr>
    <w:r>
      <w:rPr>
        <w:i w:val="1"/>
        <w:iCs w:val="1"/>
        <w:sz w:val="16"/>
        <w:szCs w:val="16"/>
        <w:rtl w:val="0"/>
        <w:lang w:val="it-IT"/>
      </w:rPr>
      <w:t>Ufficio Stampa</w:t>
    </w:r>
  </w:p>
  <w:p>
    <w:pPr>
      <w:pStyle w:val="footer"/>
    </w:pPr>
    <w:r>
      <w:rPr>
        <w:sz w:val="16"/>
        <w:szCs w:val="16"/>
        <w:rtl w:val="0"/>
        <w:lang w:val="de-DE"/>
      </w:rPr>
      <w:t>ufficio.stampa@aci.it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11892"/>
      <w:spacing w:val="0"/>
      <w:kern w:val="0"/>
      <w:position w:val="0"/>
      <w:sz w:val="18"/>
      <w:szCs w:val="18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11892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Cambria" w:cs="Arial Unicode MS" w:hAnsi="Cambri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11892"/>
      <w:spacing w:val="0"/>
      <w:kern w:val="0"/>
      <w:position w:val="0"/>
      <w:sz w:val="18"/>
      <w:szCs w:val="18"/>
      <w:u w:val="none" w:color="000000"/>
      <w:shd w:val="nil" w:color="auto" w:fill="auto"/>
      <w:vertAlign w:val="baseline"/>
      <w:lang w:val="it-IT"/>
      <w14:textFill>
        <w14:solidFill>
          <w14:srgbClr w14:val="011892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