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357E4F6E" w:rsidR="00E5199B" w:rsidRPr="00963386" w:rsidRDefault="00E5199B" w:rsidP="00BC5DF4">
                            <w:pPr>
                              <w:pStyle w:val="Nessunaspaziatura"/>
                              <w:jc w:val="right"/>
                              <w:rPr>
                                <w:lang w:val="en-US"/>
                              </w:rPr>
                            </w:pPr>
                            <w:r w:rsidRPr="00963386">
                              <w:rPr>
                                <w:lang w:val="en-US"/>
                              </w:rPr>
                              <w:t xml:space="preserve">Milano, </w:t>
                            </w:r>
                            <w:r w:rsidR="001666FE">
                              <w:rPr>
                                <w:lang w:val="en-US"/>
                              </w:rPr>
                              <w:t>30</w:t>
                            </w:r>
                            <w:r w:rsidR="00CE0C88">
                              <w:rPr>
                                <w:lang w:val="en-US"/>
                              </w:rPr>
                              <w:t xml:space="preserve"> </w:t>
                            </w:r>
                            <w:r w:rsidR="00504DF6">
                              <w:rPr>
                                <w:lang w:val="en-US"/>
                              </w:rPr>
                              <w:t>aprile</w:t>
                            </w:r>
                            <w:r w:rsidR="00CE0C88" w:rsidRPr="00A85DD4">
                              <w:rPr>
                                <w:lang w:val="en-US"/>
                              </w:rPr>
                              <w:t xml:space="preserve"> </w:t>
                            </w:r>
                            <w:r w:rsidRPr="00A85DD4">
                              <w:rPr>
                                <w:lang w:val="en-US"/>
                              </w:rPr>
                              <w:t>202</w:t>
                            </w:r>
                            <w:r w:rsidR="004844D5">
                              <w:rPr>
                                <w:lang w:val="en-US"/>
                              </w:rPr>
                              <w:t>4</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357E4F6E" w:rsidR="00E5199B" w:rsidRPr="00963386" w:rsidRDefault="00E5199B" w:rsidP="00BC5DF4">
                      <w:pPr>
                        <w:pStyle w:val="Nessunaspaziatura"/>
                        <w:jc w:val="right"/>
                        <w:rPr>
                          <w:lang w:val="en-US"/>
                        </w:rPr>
                      </w:pPr>
                      <w:r w:rsidRPr="00963386">
                        <w:rPr>
                          <w:lang w:val="en-US"/>
                        </w:rPr>
                        <w:t xml:space="preserve">Milano, </w:t>
                      </w:r>
                      <w:r w:rsidR="001666FE">
                        <w:rPr>
                          <w:lang w:val="en-US"/>
                        </w:rPr>
                        <w:t>30</w:t>
                      </w:r>
                      <w:r w:rsidR="00CE0C88">
                        <w:rPr>
                          <w:lang w:val="en-US"/>
                        </w:rPr>
                        <w:t xml:space="preserve"> </w:t>
                      </w:r>
                      <w:r w:rsidR="00504DF6">
                        <w:rPr>
                          <w:lang w:val="en-US"/>
                        </w:rPr>
                        <w:t>aprile</w:t>
                      </w:r>
                      <w:r w:rsidR="00CE0C88" w:rsidRPr="00A85DD4">
                        <w:rPr>
                          <w:lang w:val="en-US"/>
                        </w:rPr>
                        <w:t xml:space="preserve"> </w:t>
                      </w:r>
                      <w:r w:rsidRPr="00A85DD4">
                        <w:rPr>
                          <w:lang w:val="en-US"/>
                        </w:rPr>
                        <w:t>202</w:t>
                      </w:r>
                      <w:r w:rsidR="004844D5">
                        <w:rPr>
                          <w:lang w:val="en-US"/>
                        </w:rPr>
                        <w:t>4</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9527" w:type="dxa"/>
        <w:tblInd w:w="-142" w:type="dxa"/>
        <w:tblLayout w:type="fixed"/>
        <w:tblLook w:val="01E0" w:firstRow="1" w:lastRow="1" w:firstColumn="1" w:lastColumn="1" w:noHBand="0" w:noVBand="0"/>
      </w:tblPr>
      <w:tblGrid>
        <w:gridCol w:w="9527"/>
      </w:tblGrid>
      <w:tr w:rsidR="00E5199B" w:rsidRPr="00843E74" w14:paraId="28F691FF" w14:textId="77777777" w:rsidTr="00CE0359">
        <w:trPr>
          <w:trHeight w:val="971"/>
        </w:trPr>
        <w:tc>
          <w:tcPr>
            <w:tcW w:w="9527" w:type="dxa"/>
          </w:tcPr>
          <w:p w14:paraId="2A2A0460" w14:textId="3D39B38C"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00CE0359">
              <w:rPr>
                <w:rFonts w:ascii="Calibri" w:eastAsia="Calibri" w:hAnsi="Calibri" w:cs="Calibri"/>
                <w:b/>
                <w:color w:val="075292"/>
                <w:spacing w:val="-3"/>
                <w:sz w:val="50"/>
                <w:szCs w:val="50"/>
              </w:rPr>
              <w:t>-</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CE0359" w14:paraId="6EBFD062" w14:textId="77777777" w:rsidTr="00CE0359">
        <w:trPr>
          <w:trHeight w:val="477"/>
        </w:trPr>
        <w:tc>
          <w:tcPr>
            <w:tcW w:w="9527" w:type="dxa"/>
          </w:tcPr>
          <w:p w14:paraId="164BA32E" w14:textId="7F7CA537" w:rsidR="00DD7F33" w:rsidRPr="00DD7F33" w:rsidRDefault="00504DF6" w:rsidP="00DD7F33">
            <w:pPr>
              <w:spacing w:before="83"/>
              <w:ind w:left="74"/>
              <w:rPr>
                <w:rFonts w:ascii="Calibri" w:eastAsia="Calibri" w:hAnsi="Calibri" w:cs="Calibri"/>
                <w:b/>
                <w:bCs/>
                <w:color w:val="808080"/>
                <w:sz w:val="10"/>
                <w:szCs w:val="10"/>
                <w:lang w:val="it-IT"/>
              </w:rPr>
            </w:pPr>
            <w:r>
              <w:rPr>
                <w:rFonts w:ascii="Calibri" w:eastAsia="Calibri" w:hAnsi="Calibri" w:cs="Calibri"/>
                <w:b/>
                <w:bCs/>
                <w:color w:val="808080"/>
                <w:sz w:val="36"/>
                <w:lang w:val="it-IT"/>
              </w:rPr>
              <w:t>Nonostante le valutazioni interessanti, la rotazione sarà probabilmente graduale</w:t>
            </w:r>
          </w:p>
        </w:tc>
      </w:tr>
    </w:tbl>
    <w:p w14:paraId="4FAA340A" w14:textId="37BE0E4F" w:rsidR="00E5199B" w:rsidRPr="00CE0359" w:rsidRDefault="00CE0359" w:rsidP="00E5199B">
      <w:pPr>
        <w:pStyle w:val="Nessunaspaziatura"/>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354B4AC" wp14:editId="3559BB4D">
                <wp:simplePos x="0" y="0"/>
                <wp:positionH relativeFrom="margin">
                  <wp:posOffset>-66675</wp:posOffset>
                </wp:positionH>
                <wp:positionV relativeFrom="paragraph">
                  <wp:posOffset>84455</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F728452" id="Connettore diritto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5.25pt,6.65pt" to="125.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" strokecolor="#4472c4" strokeweight=".5pt">
                <v:stroke joinstyle="miter"/>
                <w10:wrap anchorx="margin"/>
              </v:line>
            </w:pict>
          </mc:Fallback>
        </mc:AlternateContent>
      </w:r>
    </w:p>
    <w:p w14:paraId="4F9B47F6" w14:textId="7F5882AA" w:rsidR="00E5199B" w:rsidRPr="006D4639" w:rsidRDefault="00E5199B" w:rsidP="00E5199B">
      <w:pPr>
        <w:pStyle w:val="Nessunaspaziatura"/>
        <w:jc w:val="both"/>
        <w:rPr>
          <w:i/>
          <w:iCs/>
          <w:lang w:val="en-US"/>
        </w:rPr>
      </w:pPr>
      <w:r w:rsidRPr="006D4639">
        <w:rPr>
          <w:i/>
          <w:iCs/>
          <w:lang w:val="en-US"/>
        </w:rPr>
        <w:t xml:space="preserve">A cura </w:t>
      </w:r>
      <w:r w:rsidR="00E6267D" w:rsidRPr="006D4639">
        <w:rPr>
          <w:i/>
          <w:iCs/>
          <w:lang w:val="en-US"/>
        </w:rPr>
        <w:t xml:space="preserve">di </w:t>
      </w:r>
      <w:r w:rsidR="00BC5658" w:rsidRPr="006D4639">
        <w:rPr>
          <w:i/>
          <w:iCs/>
          <w:lang w:val="en-US"/>
        </w:rPr>
        <w:t>Andrea Randone, Head of Mid Small Cap Research di Intermonte</w:t>
      </w:r>
    </w:p>
    <w:p w14:paraId="08A7A6F9" w14:textId="77777777" w:rsidR="00DC0BA7" w:rsidRPr="006D4639" w:rsidRDefault="00DC0BA7" w:rsidP="00DC0BA7">
      <w:pPr>
        <w:spacing w:after="120" w:line="250" w:lineRule="exact"/>
        <w:rPr>
          <w:b/>
          <w:bCs/>
          <w:lang w:val="en-US"/>
        </w:rPr>
      </w:pPr>
    </w:p>
    <w:p w14:paraId="30111B7A" w14:textId="066135AB" w:rsidR="00AC1B5B" w:rsidRPr="00AC1B5B" w:rsidRDefault="004C315F" w:rsidP="00E975A1">
      <w:pPr>
        <w:pStyle w:val="Bullets"/>
        <w:numPr>
          <w:ilvl w:val="0"/>
          <w:numId w:val="23"/>
        </w:numPr>
        <w:spacing w:after="0" w:line="240" w:lineRule="auto"/>
        <w:ind w:left="426"/>
        <w:rPr>
          <w:spacing w:val="-4"/>
          <w:sz w:val="22"/>
          <w:szCs w:val="22"/>
        </w:rPr>
      </w:pPr>
      <w:r w:rsidRPr="007A5510">
        <w:rPr>
          <w:b/>
          <w:bCs/>
          <w:spacing w:val="-4"/>
          <w:sz w:val="22"/>
          <w:szCs w:val="22"/>
        </w:rPr>
        <w:t>Performance (</w:t>
      </w:r>
      <w:r w:rsidR="00D45604">
        <w:rPr>
          <w:b/>
          <w:bCs/>
          <w:spacing w:val="-4"/>
          <w:sz w:val="22"/>
          <w:szCs w:val="22"/>
        </w:rPr>
        <w:t>+</w:t>
      </w:r>
      <w:r w:rsidRPr="007A5510">
        <w:rPr>
          <w:b/>
          <w:bCs/>
          <w:spacing w:val="-4"/>
          <w:sz w:val="22"/>
          <w:szCs w:val="22"/>
        </w:rPr>
        <w:t>).</w:t>
      </w:r>
      <w:r w:rsidR="00AC1B5B">
        <w:rPr>
          <w:b/>
          <w:bCs/>
          <w:spacing w:val="-4"/>
          <w:sz w:val="22"/>
          <w:szCs w:val="22"/>
        </w:rPr>
        <w:t xml:space="preserve"> </w:t>
      </w:r>
      <w:r w:rsidR="00AC1B5B" w:rsidRPr="00AC1B5B">
        <w:rPr>
          <w:spacing w:val="-4"/>
          <w:sz w:val="22"/>
          <w:szCs w:val="22"/>
        </w:rPr>
        <w:t xml:space="preserve">Il mercato azionario italiano (prezzi al 15 aprile 2024) ha registrato una performance positiva dello 0,1% nell'ultimo mese ed è in rialzo dell'11,2% su base annua. L'indice FTSE Italy Mid-Cap (-0,1%) ha sottoperformato l'indice principale dello 0,2% nell'ultimo mese (-5,8% su base annua relativa), mentre l'indice FTSE Italy Small Caps (+2,7%) ha registrato una performance del 2,6% superiore rispetto al mercato, ma del -13,5% su base relativa dall'inizio del 2024. La performance dell’indice Small Caps è stata sostenuta dal recente annuncio di offerte pubbliche di acquisto volontarie su due titoli. </w:t>
      </w:r>
    </w:p>
    <w:p w14:paraId="198D59DF" w14:textId="2F033CC7" w:rsidR="00AC1B5B" w:rsidRPr="00AC1B5B" w:rsidRDefault="006D11BB" w:rsidP="00E975A1">
      <w:pPr>
        <w:pStyle w:val="Paragrafoelenco"/>
        <w:numPr>
          <w:ilvl w:val="0"/>
          <w:numId w:val="23"/>
        </w:numPr>
        <w:spacing w:line="240" w:lineRule="auto"/>
        <w:ind w:left="426"/>
        <w:rPr>
          <w:rFonts w:ascii="Calibri" w:hAnsi="Calibri" w:cs="Calibri"/>
          <w:color w:val="000000"/>
          <w:spacing w:val="-4"/>
        </w:rPr>
      </w:pPr>
      <w:r w:rsidRPr="00AC1B5B">
        <w:rPr>
          <w:b/>
          <w:bCs/>
          <w:spacing w:val="-4"/>
        </w:rPr>
        <w:t>Stime (</w:t>
      </w:r>
      <w:r w:rsidR="00D45604" w:rsidRPr="00AC1B5B">
        <w:rPr>
          <w:b/>
          <w:bCs/>
          <w:spacing w:val="-4"/>
        </w:rPr>
        <w:t>=</w:t>
      </w:r>
      <w:r w:rsidRPr="00AC1B5B">
        <w:rPr>
          <w:b/>
          <w:bCs/>
          <w:spacing w:val="-4"/>
        </w:rPr>
        <w:t>).</w:t>
      </w:r>
      <w:r w:rsidRPr="00AC1B5B">
        <w:rPr>
          <w:spacing w:val="-4"/>
        </w:rPr>
        <w:t xml:space="preserve"> </w:t>
      </w:r>
      <w:r w:rsidR="00AC1B5B" w:rsidRPr="00AC1B5B">
        <w:rPr>
          <w:rFonts w:ascii="Calibri" w:hAnsi="Calibri" w:cs="Calibri"/>
          <w:color w:val="000000"/>
          <w:spacing w:val="-4"/>
        </w:rPr>
        <w:t xml:space="preserve">Dall'inizio del 2024, abbiamo attuato una revisione del +1,7%/+0,3% delle nostre stime sugli EPS </w:t>
      </w:r>
      <w:r w:rsidR="00AC1B5B">
        <w:rPr>
          <w:rFonts w:ascii="Calibri" w:hAnsi="Calibri" w:cs="Calibri"/>
          <w:color w:val="000000"/>
          <w:spacing w:val="-4"/>
        </w:rPr>
        <w:t xml:space="preserve">per il </w:t>
      </w:r>
      <w:r w:rsidR="00AC1B5B" w:rsidRPr="00AC1B5B">
        <w:rPr>
          <w:rFonts w:ascii="Calibri" w:hAnsi="Calibri" w:cs="Calibri"/>
          <w:color w:val="000000"/>
          <w:spacing w:val="-4"/>
        </w:rPr>
        <w:t xml:space="preserve">2024/2025; concentrandoci sulla nostra copertura </w:t>
      </w:r>
      <w:r w:rsidR="00AC1B5B">
        <w:rPr>
          <w:rFonts w:ascii="Calibri" w:hAnsi="Calibri" w:cs="Calibri"/>
          <w:color w:val="000000"/>
          <w:spacing w:val="-4"/>
        </w:rPr>
        <w:t xml:space="preserve">delle </w:t>
      </w:r>
      <w:r w:rsidR="00AC1B5B" w:rsidRPr="00AC1B5B">
        <w:rPr>
          <w:rFonts w:ascii="Calibri" w:hAnsi="Calibri" w:cs="Calibri"/>
          <w:color w:val="000000"/>
          <w:spacing w:val="-4"/>
        </w:rPr>
        <w:t xml:space="preserve">mid/small cap, </w:t>
      </w:r>
      <w:r w:rsidR="00AC1B5B">
        <w:rPr>
          <w:rFonts w:ascii="Calibri" w:hAnsi="Calibri" w:cs="Calibri"/>
          <w:color w:val="000000"/>
          <w:spacing w:val="-4"/>
        </w:rPr>
        <w:t xml:space="preserve">invece, </w:t>
      </w:r>
      <w:r w:rsidR="00AC1B5B" w:rsidRPr="00AC1B5B">
        <w:rPr>
          <w:rFonts w:ascii="Calibri" w:hAnsi="Calibri" w:cs="Calibri"/>
          <w:color w:val="000000"/>
          <w:spacing w:val="-4"/>
        </w:rPr>
        <w:t xml:space="preserve">abbiamo ridotto gli EPS </w:t>
      </w:r>
      <w:r w:rsidR="006B3FC1">
        <w:rPr>
          <w:rFonts w:ascii="Calibri" w:hAnsi="Calibri" w:cs="Calibri"/>
          <w:color w:val="000000"/>
          <w:spacing w:val="-4"/>
        </w:rPr>
        <w:t xml:space="preserve">per il </w:t>
      </w:r>
      <w:r w:rsidR="00AC1B5B" w:rsidRPr="00AC1B5B">
        <w:rPr>
          <w:rFonts w:ascii="Calibri" w:hAnsi="Calibri" w:cs="Calibri"/>
          <w:color w:val="000000"/>
          <w:spacing w:val="-4"/>
        </w:rPr>
        <w:t xml:space="preserve">2024/2025 del -1,0%/-1,4%. In particolare, la revisione delle stime </w:t>
      </w:r>
      <w:r w:rsidR="006B3FC1">
        <w:rPr>
          <w:rFonts w:ascii="Calibri" w:hAnsi="Calibri" w:cs="Calibri"/>
          <w:color w:val="000000"/>
          <w:spacing w:val="-4"/>
        </w:rPr>
        <w:t>sulle</w:t>
      </w:r>
      <w:r w:rsidR="00AC1B5B" w:rsidRPr="00AC1B5B">
        <w:rPr>
          <w:rFonts w:ascii="Calibri" w:hAnsi="Calibri" w:cs="Calibri"/>
          <w:color w:val="000000"/>
          <w:spacing w:val="-4"/>
        </w:rPr>
        <w:t xml:space="preserve"> large cap è stata positiva nell'ultimo mese (+1,0%/+0,5% sugli EPS 2024/25), mentre la stessa metrica è rimasta pressoché invariata per la nostra copertura mid/small cap (+0,5%/+0,1%).</w:t>
      </w:r>
    </w:p>
    <w:p w14:paraId="500A5494" w14:textId="42372C58" w:rsidR="00B26CA8" w:rsidRDefault="00E542BA" w:rsidP="00E975A1">
      <w:pPr>
        <w:pStyle w:val="Paragrafoelenco"/>
        <w:numPr>
          <w:ilvl w:val="0"/>
          <w:numId w:val="23"/>
        </w:numPr>
        <w:spacing w:line="240" w:lineRule="auto"/>
        <w:ind w:left="426"/>
        <w:jc w:val="both"/>
        <w:rPr>
          <w:rFonts w:ascii="Calibri" w:hAnsi="Calibri" w:cs="Calibri"/>
          <w:b/>
          <w:bCs/>
          <w:color w:val="000000"/>
          <w:spacing w:val="-4"/>
        </w:rPr>
      </w:pPr>
      <w:r w:rsidRPr="006B3FC1">
        <w:rPr>
          <w:b/>
          <w:bCs/>
          <w:spacing w:val="-4"/>
        </w:rPr>
        <w:t xml:space="preserve">Valutazioni </w:t>
      </w:r>
      <w:r w:rsidR="00DC24E2" w:rsidRPr="006B3FC1">
        <w:rPr>
          <w:b/>
          <w:bCs/>
          <w:spacing w:val="-4"/>
        </w:rPr>
        <w:t>(</w:t>
      </w:r>
      <w:r w:rsidR="00E6333C" w:rsidRPr="006B3FC1">
        <w:rPr>
          <w:b/>
          <w:bCs/>
          <w:spacing w:val="-4"/>
        </w:rPr>
        <w:t>+</w:t>
      </w:r>
      <w:r w:rsidRPr="006B3FC1">
        <w:rPr>
          <w:b/>
          <w:bCs/>
          <w:spacing w:val="-4"/>
        </w:rPr>
        <w:t>).</w:t>
      </w:r>
      <w:r w:rsidR="00A638D1" w:rsidRPr="006B3FC1">
        <w:rPr>
          <w:b/>
          <w:bCs/>
          <w:spacing w:val="-4"/>
        </w:rPr>
        <w:t xml:space="preserve"> </w:t>
      </w:r>
      <w:r w:rsidR="006B3FC1" w:rsidRPr="00B26CA8">
        <w:rPr>
          <w:spacing w:val="-4"/>
        </w:rPr>
        <w:t>S</w:t>
      </w:r>
      <w:r w:rsidR="006B3FC1" w:rsidRPr="00B26CA8">
        <w:rPr>
          <w:rFonts w:ascii="Calibri" w:hAnsi="Calibri" w:cs="Calibri"/>
          <w:color w:val="000000"/>
          <w:spacing w:val="-4"/>
        </w:rPr>
        <w:t xml:space="preserve">e confrontiamo la performance YtD con la variazione delle stime </w:t>
      </w:r>
      <w:r w:rsidR="006B3FC1" w:rsidRPr="00B26CA8">
        <w:rPr>
          <w:spacing w:val="-4"/>
        </w:rPr>
        <w:t xml:space="preserve">per l'esercizio ‘24 </w:t>
      </w:r>
      <w:r w:rsidR="006B3FC1" w:rsidRPr="00B26CA8">
        <w:rPr>
          <w:rFonts w:ascii="Calibri" w:hAnsi="Calibri" w:cs="Calibri"/>
          <w:color w:val="000000"/>
          <w:spacing w:val="-4"/>
        </w:rPr>
        <w:t>nello stesso periodo, vediamo che i titoli del FTSE MIB hanno registrato un re-rating YtD del 10,0% (</w:t>
      </w:r>
      <w:r w:rsidR="006B3FC1" w:rsidRPr="00B26CA8">
        <w:rPr>
          <w:spacing w:val="-4"/>
        </w:rPr>
        <w:t>lo stesso parametro</w:t>
      </w:r>
      <w:r w:rsidR="006B3FC1" w:rsidRPr="00B26CA8">
        <w:rPr>
          <w:rFonts w:ascii="Calibri" w:hAnsi="Calibri" w:cs="Calibri"/>
          <w:color w:val="000000"/>
          <w:spacing w:val="-4"/>
        </w:rPr>
        <w:t xml:space="preserve"> era +11,0% un mese fa); le mid-cap si sono rivalutate del 5,8%, mentre le small cap del 7,3%. Su base P/E, il nostro panel è scambiato con un premio del 27% rispetto alle large cap, </w:t>
      </w:r>
      <w:r w:rsidR="00B26CA8" w:rsidRPr="00B26CA8">
        <w:rPr>
          <w:spacing w:val="-4"/>
        </w:rPr>
        <w:t xml:space="preserve">ben al di sopra del </w:t>
      </w:r>
      <w:r w:rsidR="006B3FC1" w:rsidRPr="00B26CA8">
        <w:rPr>
          <w:rFonts w:ascii="Calibri" w:hAnsi="Calibri" w:cs="Calibri"/>
          <w:color w:val="000000"/>
          <w:spacing w:val="-4"/>
        </w:rPr>
        <w:t>premio medio storico (17%)</w:t>
      </w:r>
      <w:r w:rsidR="00B26CA8" w:rsidRPr="00B26CA8">
        <w:rPr>
          <w:rFonts w:ascii="Calibri" w:hAnsi="Calibri" w:cs="Calibri"/>
          <w:color w:val="000000"/>
          <w:spacing w:val="-4"/>
        </w:rPr>
        <w:t>,</w:t>
      </w:r>
      <w:r w:rsidR="006B3FC1" w:rsidRPr="00B26CA8">
        <w:rPr>
          <w:rFonts w:ascii="Calibri" w:hAnsi="Calibri" w:cs="Calibri"/>
          <w:color w:val="000000"/>
          <w:spacing w:val="-4"/>
        </w:rPr>
        <w:t xml:space="preserve"> ma leggermente </w:t>
      </w:r>
      <w:r w:rsidR="00906E6F">
        <w:rPr>
          <w:rFonts w:ascii="Calibri" w:hAnsi="Calibri" w:cs="Calibri"/>
          <w:color w:val="000000"/>
          <w:spacing w:val="-4"/>
        </w:rPr>
        <w:t xml:space="preserve">al di sotto del </w:t>
      </w:r>
      <w:r w:rsidR="006B3FC1" w:rsidRPr="00B26CA8">
        <w:rPr>
          <w:rFonts w:ascii="Calibri" w:hAnsi="Calibri" w:cs="Calibri"/>
          <w:color w:val="000000"/>
          <w:spacing w:val="-4"/>
        </w:rPr>
        <w:t>livello di un mese fa (30%).</w:t>
      </w:r>
      <w:r w:rsidR="00B26CA8">
        <w:rPr>
          <w:rFonts w:ascii="Calibri" w:hAnsi="Calibri" w:cs="Calibri"/>
          <w:b/>
          <w:bCs/>
          <w:color w:val="000000"/>
          <w:spacing w:val="-4"/>
        </w:rPr>
        <w:t xml:space="preserve"> </w:t>
      </w:r>
    </w:p>
    <w:p w14:paraId="14DD260E" w14:textId="1713506F" w:rsidR="00B26CA8" w:rsidRPr="00F11F2B" w:rsidRDefault="008104DC" w:rsidP="00E975A1">
      <w:pPr>
        <w:pStyle w:val="Paragrafoelenco"/>
        <w:numPr>
          <w:ilvl w:val="0"/>
          <w:numId w:val="23"/>
        </w:numPr>
        <w:spacing w:after="0" w:line="240" w:lineRule="auto"/>
        <w:ind w:left="426"/>
        <w:jc w:val="both"/>
        <w:rPr>
          <w:rFonts w:ascii="Calibri" w:hAnsi="Calibri" w:cs="Calibri"/>
          <w:b/>
          <w:bCs/>
          <w:color w:val="000000"/>
          <w:spacing w:val="-4"/>
        </w:rPr>
      </w:pPr>
      <w:r w:rsidRPr="00B26CA8">
        <w:rPr>
          <w:b/>
          <w:bCs/>
          <w:spacing w:val="-4"/>
        </w:rPr>
        <w:t>Liquidità (</w:t>
      </w:r>
      <w:r w:rsidR="00D45604" w:rsidRPr="00B26CA8">
        <w:rPr>
          <w:b/>
          <w:bCs/>
          <w:spacing w:val="-4"/>
        </w:rPr>
        <w:t>+</w:t>
      </w:r>
      <w:r w:rsidRPr="00B26CA8">
        <w:rPr>
          <w:b/>
          <w:bCs/>
          <w:spacing w:val="-4"/>
        </w:rPr>
        <w:t>).</w:t>
      </w:r>
      <w:r w:rsidR="00FD5113" w:rsidRPr="00B26CA8">
        <w:rPr>
          <w:b/>
          <w:bCs/>
          <w:spacing w:val="-4"/>
        </w:rPr>
        <w:t xml:space="preserve"> </w:t>
      </w:r>
      <w:r w:rsidR="00B26CA8" w:rsidRPr="00B26CA8">
        <w:rPr>
          <w:rFonts w:ascii="Calibri" w:hAnsi="Calibri" w:cs="Calibri"/>
          <w:color w:val="000000"/>
          <w:spacing w:val="-4"/>
        </w:rPr>
        <w:t xml:space="preserve">Osservando </w:t>
      </w:r>
      <w:r w:rsidR="00B26CA8" w:rsidRPr="003D52E2">
        <w:rPr>
          <w:spacing w:val="-4"/>
        </w:rPr>
        <w:t xml:space="preserve">l'andamento </w:t>
      </w:r>
      <w:r w:rsidR="00B26CA8" w:rsidRPr="008F0D71">
        <w:rPr>
          <w:spacing w:val="-4"/>
        </w:rPr>
        <w:t>degli indici ufficiali italiani</w:t>
      </w:r>
      <w:r w:rsidR="00B26CA8" w:rsidRPr="00B26CA8">
        <w:rPr>
          <w:rFonts w:ascii="Calibri" w:hAnsi="Calibri" w:cs="Calibri"/>
          <w:color w:val="000000"/>
          <w:spacing w:val="-4"/>
        </w:rPr>
        <w:t>, notiamo che la liquidità delle large cap nell'ultimo mese (misurata moltiplicando i volumi medi per i prezzi medi in un determinato periodo) è superiore del 26,1% rispetto al</w:t>
      </w:r>
      <w:r w:rsidR="00B26CA8">
        <w:rPr>
          <w:rFonts w:ascii="Calibri" w:hAnsi="Calibri" w:cs="Calibri"/>
          <w:color w:val="000000"/>
          <w:spacing w:val="-4"/>
        </w:rPr>
        <w:t xml:space="preserve">lo stesso </w:t>
      </w:r>
      <w:r w:rsidR="00B26CA8" w:rsidRPr="00B26CA8">
        <w:rPr>
          <w:rFonts w:ascii="Calibri" w:hAnsi="Calibri" w:cs="Calibri"/>
          <w:color w:val="000000"/>
          <w:spacing w:val="-4"/>
        </w:rPr>
        <w:t xml:space="preserve">periodo di un anno fa ed è in </w:t>
      </w:r>
      <w:r w:rsidR="00B26CA8">
        <w:rPr>
          <w:rFonts w:ascii="Calibri" w:hAnsi="Calibri" w:cs="Calibri"/>
          <w:color w:val="000000"/>
          <w:spacing w:val="-4"/>
        </w:rPr>
        <w:t>crescita</w:t>
      </w:r>
      <w:r w:rsidR="00B26CA8" w:rsidRPr="00B26CA8">
        <w:rPr>
          <w:rFonts w:ascii="Calibri" w:hAnsi="Calibri" w:cs="Calibri"/>
          <w:color w:val="000000"/>
          <w:spacing w:val="-4"/>
        </w:rPr>
        <w:t xml:space="preserve"> del 13,7% </w:t>
      </w:r>
      <w:r w:rsidR="00B26CA8">
        <w:rPr>
          <w:rFonts w:ascii="Calibri" w:hAnsi="Calibri" w:cs="Calibri"/>
          <w:color w:val="000000"/>
          <w:spacing w:val="-4"/>
        </w:rPr>
        <w:t>su base annua</w:t>
      </w:r>
      <w:r w:rsidR="00B26CA8" w:rsidRPr="00B26CA8">
        <w:rPr>
          <w:rFonts w:ascii="Calibri" w:hAnsi="Calibri" w:cs="Calibri"/>
          <w:color w:val="000000"/>
          <w:spacing w:val="-4"/>
        </w:rPr>
        <w:t xml:space="preserve">. Il quadro è simile per le mid/small cap: nello specifico, la liquidità </w:t>
      </w:r>
      <w:r w:rsidR="00F11F2B" w:rsidRPr="00B26CA8">
        <w:rPr>
          <w:rFonts w:ascii="Calibri" w:hAnsi="Calibri" w:cs="Calibri"/>
          <w:color w:val="000000"/>
          <w:spacing w:val="-4"/>
        </w:rPr>
        <w:t xml:space="preserve">per le mid-cap </w:t>
      </w:r>
      <w:r w:rsidR="00B26CA8" w:rsidRPr="00B26CA8">
        <w:rPr>
          <w:rFonts w:ascii="Calibri" w:hAnsi="Calibri" w:cs="Calibri"/>
          <w:color w:val="000000"/>
          <w:spacing w:val="-4"/>
        </w:rPr>
        <w:t xml:space="preserve">è aumentata del 19,8% </w:t>
      </w:r>
      <w:r w:rsidR="00F11F2B">
        <w:rPr>
          <w:rFonts w:ascii="Calibri" w:hAnsi="Calibri" w:cs="Calibri"/>
          <w:color w:val="000000"/>
          <w:spacing w:val="-4"/>
        </w:rPr>
        <w:t xml:space="preserve">su base annua, </w:t>
      </w:r>
      <w:r w:rsidR="00F11F2B">
        <w:rPr>
          <w:spacing w:val="-4"/>
        </w:rPr>
        <w:t>mentre</w:t>
      </w:r>
      <w:r w:rsidR="00F11F2B" w:rsidRPr="003D52E2">
        <w:rPr>
          <w:spacing w:val="-4"/>
        </w:rPr>
        <w:t xml:space="preserve"> per le small cap è in aumento</w:t>
      </w:r>
      <w:r w:rsidR="00F11F2B">
        <w:rPr>
          <w:spacing w:val="-4"/>
        </w:rPr>
        <w:t xml:space="preserve"> dell’8,2% su base annua. </w:t>
      </w:r>
      <w:r w:rsidR="00B26CA8" w:rsidRPr="00F11F2B">
        <w:rPr>
          <w:rFonts w:ascii="Calibri" w:hAnsi="Calibri" w:cs="Calibri"/>
          <w:color w:val="000000"/>
          <w:spacing w:val="-4"/>
        </w:rPr>
        <w:t xml:space="preserve">In particolare, la liquidità è migliorata </w:t>
      </w:r>
      <w:r w:rsidR="00F11F2B">
        <w:rPr>
          <w:rFonts w:ascii="Calibri" w:hAnsi="Calibri" w:cs="Calibri"/>
          <w:color w:val="000000"/>
          <w:spacing w:val="-4"/>
        </w:rPr>
        <w:t>notevolmente</w:t>
      </w:r>
      <w:r w:rsidR="00B26CA8" w:rsidRPr="00F11F2B">
        <w:rPr>
          <w:rFonts w:ascii="Calibri" w:hAnsi="Calibri" w:cs="Calibri"/>
          <w:color w:val="000000"/>
          <w:spacing w:val="-4"/>
        </w:rPr>
        <w:t xml:space="preserve"> nell'ultimo mese, con un aumento del 45% su base annua. </w:t>
      </w:r>
    </w:p>
    <w:p w14:paraId="4E985C8D" w14:textId="44488E28" w:rsidR="00687651" w:rsidRPr="00F11F2B" w:rsidRDefault="0098513F" w:rsidP="00E975A1">
      <w:pPr>
        <w:pStyle w:val="Bullets"/>
        <w:numPr>
          <w:ilvl w:val="0"/>
          <w:numId w:val="23"/>
        </w:numPr>
        <w:spacing w:after="0" w:line="240" w:lineRule="auto"/>
        <w:ind w:left="426"/>
        <w:rPr>
          <w:color w:val="auto"/>
          <w:spacing w:val="-4"/>
          <w:sz w:val="22"/>
          <w:szCs w:val="22"/>
        </w:rPr>
      </w:pPr>
      <w:r w:rsidRPr="00F11F2B">
        <w:rPr>
          <w:b/>
          <w:bCs/>
          <w:color w:val="auto"/>
          <w:spacing w:val="-4"/>
          <w:sz w:val="22"/>
          <w:szCs w:val="22"/>
        </w:rPr>
        <w:t>S</w:t>
      </w:r>
      <w:r w:rsidR="00DA424B" w:rsidRPr="00F11F2B">
        <w:rPr>
          <w:b/>
          <w:bCs/>
          <w:color w:val="auto"/>
          <w:spacing w:val="-4"/>
          <w:sz w:val="22"/>
          <w:szCs w:val="22"/>
        </w:rPr>
        <w:t>trategia d’investimento.</w:t>
      </w:r>
      <w:r w:rsidR="00DA424B" w:rsidRPr="00F11F2B">
        <w:rPr>
          <w:color w:val="auto"/>
          <w:spacing w:val="-4"/>
          <w:sz w:val="22"/>
          <w:szCs w:val="22"/>
        </w:rPr>
        <w:t xml:space="preserve"> </w:t>
      </w:r>
      <w:r w:rsidR="00F11F2B" w:rsidRPr="00F11F2B">
        <w:rPr>
          <w:color w:val="auto"/>
          <w:spacing w:val="-4"/>
          <w:sz w:val="22"/>
          <w:szCs w:val="22"/>
        </w:rPr>
        <w:t xml:space="preserve">I banchieri centrali stanno cercando di trovare un delicato equilibrio mentre studiano come meglio governare la situazione economica. </w:t>
      </w:r>
      <w:r w:rsidR="00A87095">
        <w:rPr>
          <w:color w:val="auto"/>
          <w:spacing w:val="-4"/>
          <w:sz w:val="22"/>
          <w:szCs w:val="22"/>
        </w:rPr>
        <w:t>V</w:t>
      </w:r>
      <w:r w:rsidR="00F11F2B" w:rsidRPr="00F11F2B">
        <w:rPr>
          <w:color w:val="auto"/>
          <w:spacing w:val="-4"/>
          <w:sz w:val="22"/>
          <w:szCs w:val="22"/>
        </w:rPr>
        <w:t xml:space="preserve">ogliono evitare di tagliare i costi di finanziamento </w:t>
      </w:r>
      <w:r w:rsidR="00A27591">
        <w:rPr>
          <w:color w:val="auto"/>
          <w:spacing w:val="-4"/>
          <w:sz w:val="22"/>
          <w:szCs w:val="22"/>
        </w:rPr>
        <w:t xml:space="preserve">troppo o </w:t>
      </w:r>
      <w:r w:rsidR="00F11F2B" w:rsidRPr="00F11F2B">
        <w:rPr>
          <w:color w:val="auto"/>
          <w:spacing w:val="-4"/>
          <w:sz w:val="22"/>
          <w:szCs w:val="22"/>
        </w:rPr>
        <w:t>troppo presto, il che potrebbe spingere l’economia a riaccelerare e l’inflazione a mettere radici ancora più salde. In questo scenario, in un contesto di crescenti tensioni globali, è probabile che le large cap rimangano più favorite rispetto alle mid/small cap, ma riteniamo ancora che una rotazione da titoli value a titoli growth dovrebbe iniziare a giugno. Detto questo, continuiamo a raccomandare di mantenere un approccio selettivo sui portafogli a media/piccola capitalizzazione, concentrandosi sui titoli di qualità. L’esposizione agli USA, che si stanno dimostrando molto resilienti, o a temi di investimento interessanti (infrastrutture, difesa, digitalizzazione) nell’attuale scenario incerto potrebbero essere un vantaggio. L’azionario italiano è sul punto di distribuire dividendi per circa 30</w:t>
      </w:r>
      <w:r w:rsidR="00A27591">
        <w:rPr>
          <w:color w:val="auto"/>
          <w:spacing w:val="-4"/>
          <w:sz w:val="22"/>
          <w:szCs w:val="22"/>
        </w:rPr>
        <w:t xml:space="preserve"> miliardi di euro</w:t>
      </w:r>
      <w:r w:rsidR="00F11F2B" w:rsidRPr="00F11F2B">
        <w:rPr>
          <w:color w:val="auto"/>
          <w:spacing w:val="-4"/>
          <w:sz w:val="22"/>
          <w:szCs w:val="22"/>
        </w:rPr>
        <w:t xml:space="preserve"> nei prossimi mesi e parte </w:t>
      </w:r>
      <w:r w:rsidR="00F11F2B" w:rsidRPr="00F11F2B">
        <w:rPr>
          <w:color w:val="auto"/>
          <w:spacing w:val="-4"/>
          <w:sz w:val="22"/>
          <w:szCs w:val="22"/>
        </w:rPr>
        <w:lastRenderedPageBreak/>
        <w:t>di questa liquidità potrebbe essere dirottata verso le società a piccola e media capitalizzazione, anche se la concorrenza dei titoli di Stato resta elevata con una nuova, inaspettata emissione di BTP Valore all’inizio di maggio, con un probabile ulteriori drenaggio di risparmi da parte della clientela retail.</w:t>
      </w:r>
    </w:p>
    <w:p w14:paraId="75591D5D" w14:textId="77777777" w:rsidR="00DE2E14" w:rsidRDefault="00DE2E14" w:rsidP="00DE2E14">
      <w:pPr>
        <w:pStyle w:val="Nessunaspaziatura"/>
        <w:jc w:val="both"/>
      </w:pPr>
    </w:p>
    <w:p w14:paraId="100CA0C1" w14:textId="77777777" w:rsidR="00E975A1" w:rsidRDefault="00E975A1" w:rsidP="00360764">
      <w:pPr>
        <w:spacing w:after="0" w:line="240" w:lineRule="auto"/>
        <w:ind w:right="-1"/>
        <w:jc w:val="both"/>
        <w:rPr>
          <w:rFonts w:ascii="Calibri" w:hAnsi="Calibri" w:cs="Calibri"/>
          <w:b/>
          <w:bCs/>
          <w:i/>
          <w:iCs/>
          <w:spacing w:val="-2"/>
          <w:sz w:val="16"/>
          <w:szCs w:val="16"/>
          <w:u w:val="single"/>
        </w:rPr>
      </w:pPr>
    </w:p>
    <w:p w14:paraId="437CFF90" w14:textId="7F5236C8" w:rsidR="00360764" w:rsidRPr="004A3992" w:rsidRDefault="00360764" w:rsidP="00360764">
      <w:pPr>
        <w:spacing w:after="0" w:line="240" w:lineRule="auto"/>
        <w:ind w:right="-1"/>
        <w:jc w:val="both"/>
        <w:rPr>
          <w:rFonts w:ascii="Calibri" w:hAnsi="Calibri" w:cs="Calibri"/>
          <w:b/>
          <w:bCs/>
          <w:i/>
          <w:iCs/>
          <w:spacing w:val="-2"/>
          <w:sz w:val="16"/>
          <w:szCs w:val="16"/>
          <w:u w:val="single"/>
        </w:rPr>
      </w:pPr>
      <w:r w:rsidRPr="004A3992">
        <w:rPr>
          <w:rFonts w:ascii="Calibri" w:hAnsi="Calibri" w:cs="Calibri"/>
          <w:b/>
          <w:bCs/>
          <w:i/>
          <w:iCs/>
          <w:spacing w:val="-2"/>
          <w:sz w:val="16"/>
          <w:szCs w:val="16"/>
          <w:u w:val="single"/>
        </w:rPr>
        <w:t xml:space="preserve">INTERMONTE </w:t>
      </w:r>
    </w:p>
    <w:p w14:paraId="2D651460" w14:textId="77777777" w:rsidR="00360764" w:rsidRPr="004A3992" w:rsidRDefault="00360764" w:rsidP="00360764">
      <w:pPr>
        <w:spacing w:after="0"/>
        <w:jc w:val="both"/>
        <w:rPr>
          <w:rFonts w:eastAsia="Calibri" w:cstheme="minorHAnsi"/>
          <w:color w:val="000000"/>
          <w:sz w:val="16"/>
          <w:szCs w:val="16"/>
        </w:rPr>
      </w:pPr>
      <w:r w:rsidRPr="0059183B">
        <w:rPr>
          <w:rFonts w:eastAsia="Calibri" w:cstheme="minorHAnsi"/>
          <w:color w:val="000000"/>
          <w:sz w:val="16"/>
          <w:szCs w:val="16"/>
        </w:rPr>
        <w:t>Intermonte è una Investment bank indipendente leader in Italia e punto di riferimento per gli investitori istituzionali italiani e internazionali nel segmento delle mid &amp; small caps. Quotata sul mercato Euronext Growth Milan di Borsa Italiana, presenta un modello di business diversificato su quattro linee di attività, “Investment Banking”, “Sales &amp; Trading”, Global Markets” e “Digital Division &amp; Advisory”. L’Investment Banking offre servizi rivolti a imprese quotate e non quotate in operazioni straordinarie, incluse operazioni di Equity Capital Markets, M&amp;A e Debt Capital Markets. Le divisioni Sales &amp; Trading e Global Markets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La divisione “Digital Division &amp; Advisory” attraverso Websim è attiva nella consulenza agli investimenti nei confronti di investitori non istituzionali, consulenti finanziari e private banker e PMI.</w:t>
      </w:r>
    </w:p>
    <w:p w14:paraId="19CB7148" w14:textId="77777777" w:rsidR="00360764" w:rsidRPr="004A3992" w:rsidRDefault="00360764" w:rsidP="00360764">
      <w:pPr>
        <w:spacing w:after="0"/>
        <w:jc w:val="both"/>
        <w:rPr>
          <w:rFonts w:eastAsia="Calibri" w:cstheme="minorHAnsi"/>
          <w:color w:val="000000"/>
          <w:sz w:val="16"/>
          <w:szCs w:val="16"/>
        </w:rPr>
      </w:pPr>
    </w:p>
    <w:p w14:paraId="2CC598CC" w14:textId="77777777" w:rsidR="00360764" w:rsidRPr="004A3992" w:rsidRDefault="00360764" w:rsidP="00360764">
      <w:pPr>
        <w:pStyle w:val="Paragrafoelenco"/>
        <w:ind w:left="0"/>
        <w:jc w:val="both"/>
        <w:rPr>
          <w:rFonts w:ascii="Calibri Light" w:hAnsi="Calibri Light" w:cs="Calibri Light"/>
          <w:b/>
          <w:i/>
          <w:sz w:val="16"/>
          <w:szCs w:val="16"/>
        </w:rPr>
      </w:pPr>
      <w:r w:rsidRPr="004A3992">
        <w:rPr>
          <w:rFonts w:ascii="Calibri Light" w:hAnsi="Calibri Light" w:cs="Calibri Light"/>
          <w:b/>
          <w:i/>
          <w:sz w:val="16"/>
          <w:szCs w:val="16"/>
        </w:rPr>
        <w:t xml:space="preserve">Contatti per la stampa: </w:t>
      </w:r>
    </w:p>
    <w:p w14:paraId="33838215" w14:textId="77777777" w:rsidR="00360764" w:rsidRPr="004A3992" w:rsidRDefault="00360764" w:rsidP="00360764">
      <w:pPr>
        <w:pStyle w:val="Paragrafoelenco"/>
        <w:spacing w:after="0"/>
        <w:ind w:left="0"/>
        <w:jc w:val="both"/>
        <w:rPr>
          <w:rFonts w:ascii="Calibri Light" w:hAnsi="Calibri Light" w:cs="Calibri Light"/>
          <w:b/>
          <w:i/>
          <w:sz w:val="16"/>
          <w:szCs w:val="16"/>
        </w:rPr>
      </w:pPr>
      <w:r w:rsidRPr="004A3992">
        <w:rPr>
          <w:rFonts w:ascii="Calibri Light" w:hAnsi="Calibri Light" w:cs="Calibri Light"/>
          <w:b/>
          <w:i/>
          <w:sz w:val="16"/>
          <w:szCs w:val="16"/>
        </w:rPr>
        <w:t>BC Communication</w:t>
      </w:r>
    </w:p>
    <w:p w14:paraId="57222D67" w14:textId="77777777" w:rsidR="00360764" w:rsidRPr="004A3992" w:rsidRDefault="00360764" w:rsidP="00360764">
      <w:pPr>
        <w:pStyle w:val="Paragrafoelenco"/>
        <w:ind w:left="0"/>
        <w:jc w:val="both"/>
        <w:rPr>
          <w:rFonts w:ascii="Calibri Light" w:hAnsi="Calibri Light" w:cs="Calibri Light"/>
          <w:b/>
          <w:i/>
          <w:sz w:val="16"/>
          <w:szCs w:val="16"/>
        </w:rPr>
      </w:pPr>
      <w:r w:rsidRPr="004A3992">
        <w:rPr>
          <w:rFonts w:ascii="Calibri Light" w:hAnsi="Calibri Light" w:cs="Calibri Light"/>
          <w:b/>
          <w:i/>
          <w:sz w:val="16"/>
          <w:szCs w:val="16"/>
        </w:rPr>
        <w:t xml:space="preserve">Beatrice Cagnoni </w:t>
      </w:r>
      <w:r w:rsidRPr="004A3992">
        <w:rPr>
          <w:rFonts w:ascii="Calibri Light" w:hAnsi="Calibri Light" w:cs="Calibri Light"/>
          <w:bCs/>
          <w:i/>
          <w:sz w:val="16"/>
          <w:szCs w:val="16"/>
        </w:rPr>
        <w:t xml:space="preserve">– </w:t>
      </w:r>
      <w:hyperlink r:id="rId8" w:history="1">
        <w:r w:rsidRPr="004A3992">
          <w:rPr>
            <w:rStyle w:val="Collegamentoipertestuale"/>
            <w:rFonts w:ascii="Calibri Light" w:hAnsi="Calibri Light" w:cs="Calibri Light"/>
            <w:i/>
            <w:sz w:val="16"/>
            <w:szCs w:val="16"/>
          </w:rPr>
          <w:t>beatrice.cagnoni@bc-communication.it</w:t>
        </w:r>
      </w:hyperlink>
      <w:r w:rsidRPr="004A3992">
        <w:rPr>
          <w:rStyle w:val="Collegamentoipertestuale"/>
          <w:rFonts w:ascii="Calibri Light" w:hAnsi="Calibri Light" w:cs="Calibri Light"/>
          <w:i/>
          <w:sz w:val="16"/>
          <w:szCs w:val="16"/>
        </w:rPr>
        <w:t xml:space="preserve"> </w:t>
      </w:r>
      <w:r w:rsidRPr="004A3992">
        <w:rPr>
          <w:rFonts w:ascii="Calibri Light" w:hAnsi="Calibri Light" w:cs="Calibri Light"/>
          <w:bCs/>
          <w:i/>
          <w:sz w:val="16"/>
          <w:szCs w:val="16"/>
        </w:rPr>
        <w:t xml:space="preserve">– </w:t>
      </w:r>
      <w:r w:rsidRPr="004A3992">
        <w:rPr>
          <w:rFonts w:ascii="Calibri Light" w:hAnsi="Calibri Light" w:cs="Calibri Light"/>
          <w:b/>
          <w:i/>
          <w:sz w:val="16"/>
          <w:szCs w:val="16"/>
        </w:rPr>
        <w:t>+39 335 5635111</w:t>
      </w:r>
    </w:p>
    <w:p w14:paraId="5534B716" w14:textId="77777777" w:rsidR="00360764" w:rsidRPr="004A3992" w:rsidRDefault="00360764" w:rsidP="00360764">
      <w:pPr>
        <w:pStyle w:val="Paragrafoelenco"/>
        <w:ind w:left="0"/>
        <w:jc w:val="both"/>
        <w:rPr>
          <w:rFonts w:ascii="Calibri Light" w:hAnsi="Calibri Light" w:cs="Calibri Light"/>
          <w:b/>
          <w:i/>
          <w:sz w:val="16"/>
          <w:szCs w:val="16"/>
        </w:rPr>
      </w:pPr>
      <w:r w:rsidRPr="004A3992">
        <w:rPr>
          <w:rFonts w:ascii="Calibri Light" w:hAnsi="Calibri Light" w:cs="Calibri Light"/>
          <w:b/>
          <w:i/>
          <w:sz w:val="16"/>
          <w:szCs w:val="16"/>
        </w:rPr>
        <w:t>Giulia Franzoni</w:t>
      </w:r>
      <w:r w:rsidRPr="004A3992">
        <w:rPr>
          <w:b/>
          <w:i/>
          <w:color w:val="000000"/>
          <w:sz w:val="16"/>
          <w:szCs w:val="16"/>
        </w:rPr>
        <w:t xml:space="preserve"> </w:t>
      </w:r>
      <w:r w:rsidRPr="004A3992">
        <w:rPr>
          <w:i/>
          <w:color w:val="000000"/>
          <w:sz w:val="16"/>
          <w:szCs w:val="16"/>
        </w:rPr>
        <w:t xml:space="preserve">| </w:t>
      </w:r>
      <w:r w:rsidRPr="004A3992">
        <w:rPr>
          <w:rStyle w:val="Collegamentoipertestuale"/>
          <w:rFonts w:ascii="Calibri Light" w:hAnsi="Calibri Light" w:cs="Calibri Light"/>
          <w:bCs/>
          <w:i/>
          <w:iCs/>
          <w:sz w:val="16"/>
          <w:szCs w:val="16"/>
        </w:rPr>
        <w:t>giulia.franzoni@bc-communication.it</w:t>
      </w:r>
      <w:r w:rsidRPr="004A3992">
        <w:rPr>
          <w:i/>
          <w:color w:val="000000"/>
          <w:sz w:val="16"/>
          <w:szCs w:val="16"/>
        </w:rPr>
        <w:t xml:space="preserve"> | </w:t>
      </w:r>
      <w:r w:rsidRPr="004A3992">
        <w:rPr>
          <w:rFonts w:ascii="Calibri Light" w:hAnsi="Calibri Light" w:cs="Calibri Light"/>
          <w:b/>
          <w:i/>
          <w:sz w:val="16"/>
          <w:szCs w:val="16"/>
        </w:rPr>
        <w:t>+39 334 3337756</w:t>
      </w:r>
    </w:p>
    <w:p w14:paraId="599E9A43" w14:textId="069AA1BA" w:rsidR="007920F2" w:rsidRPr="00C57CBE" w:rsidRDefault="007920F2" w:rsidP="00E5199B">
      <w:pPr>
        <w:pStyle w:val="Paragrafoelenco"/>
        <w:ind w:left="0"/>
        <w:jc w:val="both"/>
        <w:rPr>
          <w:rFonts w:cstheme="minorHAnsi"/>
          <w:b/>
          <w:i/>
          <w:sz w:val="20"/>
          <w:szCs w:val="20"/>
        </w:rPr>
      </w:pPr>
    </w:p>
    <w:p w14:paraId="6A551DD1" w14:textId="7C7E7655" w:rsidR="007920F2" w:rsidRPr="00C57CBE" w:rsidRDefault="007920F2" w:rsidP="007920F2">
      <w:pPr>
        <w:pStyle w:val="Paragrafoelenco"/>
        <w:ind w:left="0"/>
        <w:jc w:val="both"/>
        <w:rPr>
          <w:rFonts w:cstheme="minorHAnsi"/>
          <w:b/>
          <w:i/>
          <w:sz w:val="20"/>
          <w:szCs w:val="20"/>
        </w:rPr>
      </w:pPr>
    </w:p>
    <w:sectPr w:rsidR="007920F2" w:rsidRPr="00C57CB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43D90" w14:textId="77777777" w:rsidR="0083506B" w:rsidRDefault="0083506B">
      <w:pPr>
        <w:spacing w:after="0" w:line="240" w:lineRule="auto"/>
      </w:pPr>
      <w:r>
        <w:separator/>
      </w:r>
    </w:p>
  </w:endnote>
  <w:endnote w:type="continuationSeparator" w:id="0">
    <w:p w14:paraId="69F30C8A" w14:textId="77777777" w:rsidR="0083506B" w:rsidRDefault="0083506B">
      <w:pPr>
        <w:spacing w:after="0" w:line="240" w:lineRule="auto"/>
      </w:pPr>
      <w:r>
        <w:continuationSeparator/>
      </w:r>
    </w:p>
  </w:endnote>
  <w:endnote w:type="continuationNotice" w:id="1">
    <w:p w14:paraId="09A9791E" w14:textId="77777777" w:rsidR="0083506B" w:rsidRDefault="00835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377271"/>
      <w:docPartObj>
        <w:docPartGallery w:val="Page Numbers (Bottom of Page)"/>
        <w:docPartUnique/>
      </w:docPartObj>
    </w:sdtPr>
    <w:sdtContent>
      <w:p w14:paraId="1F0B891D" w14:textId="77777777" w:rsidR="00631C43"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631C43" w:rsidRDefault="00631C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B52DD" w14:textId="77777777" w:rsidR="0083506B" w:rsidRDefault="0083506B">
      <w:pPr>
        <w:spacing w:after="0" w:line="240" w:lineRule="auto"/>
      </w:pPr>
      <w:r>
        <w:separator/>
      </w:r>
    </w:p>
  </w:footnote>
  <w:footnote w:type="continuationSeparator" w:id="0">
    <w:p w14:paraId="21CBBA12" w14:textId="77777777" w:rsidR="0083506B" w:rsidRDefault="0083506B">
      <w:pPr>
        <w:spacing w:after="0" w:line="240" w:lineRule="auto"/>
      </w:pPr>
      <w:r>
        <w:continuationSeparator/>
      </w:r>
    </w:p>
  </w:footnote>
  <w:footnote w:type="continuationNotice" w:id="1">
    <w:p w14:paraId="7426D40C" w14:textId="77777777" w:rsidR="0083506B" w:rsidRDefault="00835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C5D3C"/>
    <w:multiLevelType w:val="hybridMultilevel"/>
    <w:tmpl w:val="AE5C6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671D9"/>
    <w:multiLevelType w:val="hybridMultilevel"/>
    <w:tmpl w:val="955C934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99025B"/>
    <w:multiLevelType w:val="hybridMultilevel"/>
    <w:tmpl w:val="677A2198"/>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49284E"/>
    <w:multiLevelType w:val="hybridMultilevel"/>
    <w:tmpl w:val="C5F4D11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3D8C7476"/>
    <w:multiLevelType w:val="hybridMultilevel"/>
    <w:tmpl w:val="91FA8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9230B3"/>
    <w:multiLevelType w:val="hybridMultilevel"/>
    <w:tmpl w:val="4A7023E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923C0E"/>
    <w:multiLevelType w:val="hybridMultilevel"/>
    <w:tmpl w:val="B1F460EC"/>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FA04E2"/>
    <w:multiLevelType w:val="hybridMultilevel"/>
    <w:tmpl w:val="EA64A498"/>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3E5692"/>
    <w:multiLevelType w:val="hybridMultilevel"/>
    <w:tmpl w:val="4F68CA5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4138E5"/>
    <w:multiLevelType w:val="hybridMultilevel"/>
    <w:tmpl w:val="FAEE2E72"/>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10"/>
  </w:num>
  <w:num w:numId="2" w16cid:durableId="1137602706">
    <w:abstractNumId w:val="1"/>
  </w:num>
  <w:num w:numId="3" w16cid:durableId="1481918223">
    <w:abstractNumId w:val="19"/>
  </w:num>
  <w:num w:numId="4" w16cid:durableId="136192562">
    <w:abstractNumId w:val="18"/>
  </w:num>
  <w:num w:numId="5" w16cid:durableId="770200441">
    <w:abstractNumId w:val="24"/>
  </w:num>
  <w:num w:numId="6" w16cid:durableId="1030649971">
    <w:abstractNumId w:val="2"/>
  </w:num>
  <w:num w:numId="7" w16cid:durableId="429745017">
    <w:abstractNumId w:val="16"/>
  </w:num>
  <w:num w:numId="8" w16cid:durableId="827480080">
    <w:abstractNumId w:val="8"/>
  </w:num>
  <w:num w:numId="9" w16cid:durableId="244609539">
    <w:abstractNumId w:val="9"/>
  </w:num>
  <w:num w:numId="10" w16cid:durableId="786853252">
    <w:abstractNumId w:val="11"/>
  </w:num>
  <w:num w:numId="11" w16cid:durableId="2062945117">
    <w:abstractNumId w:val="3"/>
  </w:num>
  <w:num w:numId="12" w16cid:durableId="1823810398">
    <w:abstractNumId w:val="7"/>
  </w:num>
  <w:num w:numId="13" w16cid:durableId="1699693606">
    <w:abstractNumId w:val="6"/>
  </w:num>
  <w:num w:numId="14" w16cid:durableId="270865012">
    <w:abstractNumId w:val="0"/>
  </w:num>
  <w:num w:numId="15" w16cid:durableId="409739443">
    <w:abstractNumId w:val="20"/>
  </w:num>
  <w:num w:numId="16" w16cid:durableId="1364476437">
    <w:abstractNumId w:val="15"/>
  </w:num>
  <w:num w:numId="17" w16cid:durableId="1999381717">
    <w:abstractNumId w:val="13"/>
  </w:num>
  <w:num w:numId="18" w16cid:durableId="88740832">
    <w:abstractNumId w:val="5"/>
  </w:num>
  <w:num w:numId="19" w16cid:durableId="1729182094">
    <w:abstractNumId w:val="4"/>
  </w:num>
  <w:num w:numId="20" w16cid:durableId="893001785">
    <w:abstractNumId w:val="17"/>
  </w:num>
  <w:num w:numId="21" w16cid:durableId="241068393">
    <w:abstractNumId w:val="14"/>
  </w:num>
  <w:num w:numId="22" w16cid:durableId="1539321849">
    <w:abstractNumId w:val="22"/>
  </w:num>
  <w:num w:numId="23" w16cid:durableId="2031026506">
    <w:abstractNumId w:val="12"/>
  </w:num>
  <w:num w:numId="24" w16cid:durableId="65883614">
    <w:abstractNumId w:val="21"/>
  </w:num>
  <w:num w:numId="25" w16cid:durableId="1470711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618"/>
    <w:rsid w:val="00003CAA"/>
    <w:rsid w:val="00004957"/>
    <w:rsid w:val="0000512D"/>
    <w:rsid w:val="000064D9"/>
    <w:rsid w:val="000074F2"/>
    <w:rsid w:val="0001139E"/>
    <w:rsid w:val="00020176"/>
    <w:rsid w:val="00022319"/>
    <w:rsid w:val="00026CDB"/>
    <w:rsid w:val="00027F66"/>
    <w:rsid w:val="00030E15"/>
    <w:rsid w:val="00031E04"/>
    <w:rsid w:val="000328E9"/>
    <w:rsid w:val="00032DBD"/>
    <w:rsid w:val="00033626"/>
    <w:rsid w:val="00033F5F"/>
    <w:rsid w:val="00034C25"/>
    <w:rsid w:val="00037AD8"/>
    <w:rsid w:val="00047399"/>
    <w:rsid w:val="00050C72"/>
    <w:rsid w:val="00051441"/>
    <w:rsid w:val="0006475D"/>
    <w:rsid w:val="000649A8"/>
    <w:rsid w:val="0006620E"/>
    <w:rsid w:val="00071620"/>
    <w:rsid w:val="00072247"/>
    <w:rsid w:val="000747D5"/>
    <w:rsid w:val="00083EA3"/>
    <w:rsid w:val="00092E9C"/>
    <w:rsid w:val="000945E3"/>
    <w:rsid w:val="0009669D"/>
    <w:rsid w:val="00097692"/>
    <w:rsid w:val="000A2C35"/>
    <w:rsid w:val="000A3582"/>
    <w:rsid w:val="000A437C"/>
    <w:rsid w:val="000A5600"/>
    <w:rsid w:val="000A7197"/>
    <w:rsid w:val="000B03B5"/>
    <w:rsid w:val="000B166F"/>
    <w:rsid w:val="000B17A5"/>
    <w:rsid w:val="000B323E"/>
    <w:rsid w:val="000B3978"/>
    <w:rsid w:val="000B5449"/>
    <w:rsid w:val="000B67EE"/>
    <w:rsid w:val="000B704C"/>
    <w:rsid w:val="000C263E"/>
    <w:rsid w:val="000D3BFA"/>
    <w:rsid w:val="000D7E8E"/>
    <w:rsid w:val="000E3ED8"/>
    <w:rsid w:val="000E40D7"/>
    <w:rsid w:val="000F42FC"/>
    <w:rsid w:val="000F665B"/>
    <w:rsid w:val="000F77CF"/>
    <w:rsid w:val="00104A78"/>
    <w:rsid w:val="001127D7"/>
    <w:rsid w:val="00114690"/>
    <w:rsid w:val="001148AD"/>
    <w:rsid w:val="001177B2"/>
    <w:rsid w:val="00121393"/>
    <w:rsid w:val="001267D3"/>
    <w:rsid w:val="00131BC2"/>
    <w:rsid w:val="00136592"/>
    <w:rsid w:val="00136803"/>
    <w:rsid w:val="0013785A"/>
    <w:rsid w:val="00142F8A"/>
    <w:rsid w:val="00143D91"/>
    <w:rsid w:val="001441DF"/>
    <w:rsid w:val="00147ED7"/>
    <w:rsid w:val="0015283B"/>
    <w:rsid w:val="0015402B"/>
    <w:rsid w:val="00155440"/>
    <w:rsid w:val="00157C55"/>
    <w:rsid w:val="00161051"/>
    <w:rsid w:val="00161720"/>
    <w:rsid w:val="0016319B"/>
    <w:rsid w:val="00165104"/>
    <w:rsid w:val="0016547C"/>
    <w:rsid w:val="001666FE"/>
    <w:rsid w:val="00170C74"/>
    <w:rsid w:val="0017227D"/>
    <w:rsid w:val="00172595"/>
    <w:rsid w:val="00174887"/>
    <w:rsid w:val="00181160"/>
    <w:rsid w:val="00184FB7"/>
    <w:rsid w:val="001933F8"/>
    <w:rsid w:val="00193B92"/>
    <w:rsid w:val="001971C9"/>
    <w:rsid w:val="001A1722"/>
    <w:rsid w:val="001A5662"/>
    <w:rsid w:val="001B0385"/>
    <w:rsid w:val="001B21D1"/>
    <w:rsid w:val="001B3060"/>
    <w:rsid w:val="001B344F"/>
    <w:rsid w:val="001B3CF9"/>
    <w:rsid w:val="001B5BCE"/>
    <w:rsid w:val="001C6885"/>
    <w:rsid w:val="001D1322"/>
    <w:rsid w:val="001D30F7"/>
    <w:rsid w:val="001E080D"/>
    <w:rsid w:val="001E57C5"/>
    <w:rsid w:val="001E69FC"/>
    <w:rsid w:val="001E6A34"/>
    <w:rsid w:val="001F5215"/>
    <w:rsid w:val="001F6ED3"/>
    <w:rsid w:val="00200D08"/>
    <w:rsid w:val="0020242D"/>
    <w:rsid w:val="00202A6B"/>
    <w:rsid w:val="00224225"/>
    <w:rsid w:val="00226508"/>
    <w:rsid w:val="00226AE0"/>
    <w:rsid w:val="00226C2E"/>
    <w:rsid w:val="002274FC"/>
    <w:rsid w:val="00236BE1"/>
    <w:rsid w:val="00243527"/>
    <w:rsid w:val="00246961"/>
    <w:rsid w:val="00246D62"/>
    <w:rsid w:val="002479F3"/>
    <w:rsid w:val="00247A8D"/>
    <w:rsid w:val="0025326C"/>
    <w:rsid w:val="00256153"/>
    <w:rsid w:val="00256634"/>
    <w:rsid w:val="0026189B"/>
    <w:rsid w:val="00262B2E"/>
    <w:rsid w:val="00265ABC"/>
    <w:rsid w:val="00276CC7"/>
    <w:rsid w:val="002848ED"/>
    <w:rsid w:val="00285790"/>
    <w:rsid w:val="0028670E"/>
    <w:rsid w:val="002868C0"/>
    <w:rsid w:val="00287F41"/>
    <w:rsid w:val="00291066"/>
    <w:rsid w:val="00292AF1"/>
    <w:rsid w:val="00294A0D"/>
    <w:rsid w:val="002970B2"/>
    <w:rsid w:val="00297E4D"/>
    <w:rsid w:val="002A2FE1"/>
    <w:rsid w:val="002B074F"/>
    <w:rsid w:val="002C2748"/>
    <w:rsid w:val="002C6AEE"/>
    <w:rsid w:val="002D1BE6"/>
    <w:rsid w:val="002D2DAB"/>
    <w:rsid w:val="002D4626"/>
    <w:rsid w:val="002D4AE9"/>
    <w:rsid w:val="002D6A98"/>
    <w:rsid w:val="002E1F36"/>
    <w:rsid w:val="002E343F"/>
    <w:rsid w:val="002E39CD"/>
    <w:rsid w:val="002F66E6"/>
    <w:rsid w:val="002F7F8E"/>
    <w:rsid w:val="003004B5"/>
    <w:rsid w:val="00302B7C"/>
    <w:rsid w:val="00305D70"/>
    <w:rsid w:val="00305FA0"/>
    <w:rsid w:val="0030695B"/>
    <w:rsid w:val="0031141B"/>
    <w:rsid w:val="0031257A"/>
    <w:rsid w:val="0032421A"/>
    <w:rsid w:val="00325407"/>
    <w:rsid w:val="00325D70"/>
    <w:rsid w:val="00333FE9"/>
    <w:rsid w:val="00340E0D"/>
    <w:rsid w:val="00344767"/>
    <w:rsid w:val="003512F5"/>
    <w:rsid w:val="00351369"/>
    <w:rsid w:val="00351837"/>
    <w:rsid w:val="003523D0"/>
    <w:rsid w:val="00355890"/>
    <w:rsid w:val="00360764"/>
    <w:rsid w:val="003613B8"/>
    <w:rsid w:val="00364C73"/>
    <w:rsid w:val="00366545"/>
    <w:rsid w:val="003704CE"/>
    <w:rsid w:val="00372558"/>
    <w:rsid w:val="00372D50"/>
    <w:rsid w:val="00376A13"/>
    <w:rsid w:val="00377BF9"/>
    <w:rsid w:val="0038118C"/>
    <w:rsid w:val="00381877"/>
    <w:rsid w:val="00381E34"/>
    <w:rsid w:val="00384B97"/>
    <w:rsid w:val="00385DDC"/>
    <w:rsid w:val="00391203"/>
    <w:rsid w:val="00392BC3"/>
    <w:rsid w:val="003933BC"/>
    <w:rsid w:val="003950F2"/>
    <w:rsid w:val="003A0B31"/>
    <w:rsid w:val="003A121B"/>
    <w:rsid w:val="003A2EF7"/>
    <w:rsid w:val="003B2BFF"/>
    <w:rsid w:val="003B2DC5"/>
    <w:rsid w:val="003B438B"/>
    <w:rsid w:val="003B5272"/>
    <w:rsid w:val="003B650B"/>
    <w:rsid w:val="003B7D2C"/>
    <w:rsid w:val="003C05AF"/>
    <w:rsid w:val="003C0CC7"/>
    <w:rsid w:val="003C3535"/>
    <w:rsid w:val="003C5DDF"/>
    <w:rsid w:val="003C77F5"/>
    <w:rsid w:val="003D4AFE"/>
    <w:rsid w:val="003D5008"/>
    <w:rsid w:val="003D52E2"/>
    <w:rsid w:val="003D5F3B"/>
    <w:rsid w:val="003E0508"/>
    <w:rsid w:val="003E4A68"/>
    <w:rsid w:val="003E7136"/>
    <w:rsid w:val="003F0E09"/>
    <w:rsid w:val="003F18FA"/>
    <w:rsid w:val="003F1D70"/>
    <w:rsid w:val="003F221A"/>
    <w:rsid w:val="003F320D"/>
    <w:rsid w:val="003F5085"/>
    <w:rsid w:val="003F62D1"/>
    <w:rsid w:val="003F70BB"/>
    <w:rsid w:val="00400358"/>
    <w:rsid w:val="004042DD"/>
    <w:rsid w:val="00405C3B"/>
    <w:rsid w:val="004064BB"/>
    <w:rsid w:val="004116A5"/>
    <w:rsid w:val="004119D9"/>
    <w:rsid w:val="00414885"/>
    <w:rsid w:val="0041517C"/>
    <w:rsid w:val="00424AB6"/>
    <w:rsid w:val="00427C8D"/>
    <w:rsid w:val="00435DE1"/>
    <w:rsid w:val="00440331"/>
    <w:rsid w:val="00442B98"/>
    <w:rsid w:val="00443464"/>
    <w:rsid w:val="00445E8D"/>
    <w:rsid w:val="0044638B"/>
    <w:rsid w:val="00451957"/>
    <w:rsid w:val="00452BC0"/>
    <w:rsid w:val="00456C81"/>
    <w:rsid w:val="004709F6"/>
    <w:rsid w:val="004718E7"/>
    <w:rsid w:val="00472116"/>
    <w:rsid w:val="00473AB4"/>
    <w:rsid w:val="004823CA"/>
    <w:rsid w:val="004844D5"/>
    <w:rsid w:val="00496192"/>
    <w:rsid w:val="004961D0"/>
    <w:rsid w:val="004A223B"/>
    <w:rsid w:val="004A3BA2"/>
    <w:rsid w:val="004A7D75"/>
    <w:rsid w:val="004B0D35"/>
    <w:rsid w:val="004B7ABD"/>
    <w:rsid w:val="004C315F"/>
    <w:rsid w:val="004C6D6E"/>
    <w:rsid w:val="004D0DEE"/>
    <w:rsid w:val="004D741F"/>
    <w:rsid w:val="004E24BF"/>
    <w:rsid w:val="004E28D1"/>
    <w:rsid w:val="004E6A87"/>
    <w:rsid w:val="004F06D2"/>
    <w:rsid w:val="004F1FC0"/>
    <w:rsid w:val="00501232"/>
    <w:rsid w:val="0050292B"/>
    <w:rsid w:val="00503916"/>
    <w:rsid w:val="00504DF6"/>
    <w:rsid w:val="00506615"/>
    <w:rsid w:val="005076EF"/>
    <w:rsid w:val="00507D9C"/>
    <w:rsid w:val="005131D7"/>
    <w:rsid w:val="00521AC7"/>
    <w:rsid w:val="00521F5A"/>
    <w:rsid w:val="00521FF1"/>
    <w:rsid w:val="005256F8"/>
    <w:rsid w:val="00526D1C"/>
    <w:rsid w:val="00527496"/>
    <w:rsid w:val="0054078F"/>
    <w:rsid w:val="00541E61"/>
    <w:rsid w:val="00544B9F"/>
    <w:rsid w:val="0054729A"/>
    <w:rsid w:val="00547558"/>
    <w:rsid w:val="005545D8"/>
    <w:rsid w:val="0055794F"/>
    <w:rsid w:val="0056227E"/>
    <w:rsid w:val="00562EF1"/>
    <w:rsid w:val="00562FD1"/>
    <w:rsid w:val="00563B35"/>
    <w:rsid w:val="00563F19"/>
    <w:rsid w:val="00564C5A"/>
    <w:rsid w:val="00567214"/>
    <w:rsid w:val="00567C88"/>
    <w:rsid w:val="005703B7"/>
    <w:rsid w:val="00573A58"/>
    <w:rsid w:val="005741BE"/>
    <w:rsid w:val="00583CEA"/>
    <w:rsid w:val="005846B2"/>
    <w:rsid w:val="00592DA6"/>
    <w:rsid w:val="005A4BE9"/>
    <w:rsid w:val="005A5CDB"/>
    <w:rsid w:val="005B3D47"/>
    <w:rsid w:val="005B6F1A"/>
    <w:rsid w:val="005C039C"/>
    <w:rsid w:val="005C0BE8"/>
    <w:rsid w:val="005C0C04"/>
    <w:rsid w:val="005C64FB"/>
    <w:rsid w:val="005C7369"/>
    <w:rsid w:val="005D16BC"/>
    <w:rsid w:val="005D391C"/>
    <w:rsid w:val="005D5877"/>
    <w:rsid w:val="005E160D"/>
    <w:rsid w:val="005E4E63"/>
    <w:rsid w:val="005E65FF"/>
    <w:rsid w:val="005F103A"/>
    <w:rsid w:val="005F1936"/>
    <w:rsid w:val="005F281E"/>
    <w:rsid w:val="005F2EDA"/>
    <w:rsid w:val="005F325D"/>
    <w:rsid w:val="005F4CCF"/>
    <w:rsid w:val="005F5CA2"/>
    <w:rsid w:val="005F6143"/>
    <w:rsid w:val="005F7EB3"/>
    <w:rsid w:val="00602404"/>
    <w:rsid w:val="00607041"/>
    <w:rsid w:val="00610027"/>
    <w:rsid w:val="006137DF"/>
    <w:rsid w:val="00617B88"/>
    <w:rsid w:val="00625DC8"/>
    <w:rsid w:val="006270BC"/>
    <w:rsid w:val="006311ED"/>
    <w:rsid w:val="00631C43"/>
    <w:rsid w:val="00632B7A"/>
    <w:rsid w:val="006350F9"/>
    <w:rsid w:val="006372B2"/>
    <w:rsid w:val="00637483"/>
    <w:rsid w:val="0064044D"/>
    <w:rsid w:val="00640ECA"/>
    <w:rsid w:val="00642E02"/>
    <w:rsid w:val="00644EFB"/>
    <w:rsid w:val="00646554"/>
    <w:rsid w:val="00653BD9"/>
    <w:rsid w:val="00656818"/>
    <w:rsid w:val="00666FD6"/>
    <w:rsid w:val="006707A6"/>
    <w:rsid w:val="0067082E"/>
    <w:rsid w:val="00672D2F"/>
    <w:rsid w:val="006738BE"/>
    <w:rsid w:val="00676BB9"/>
    <w:rsid w:val="00677CEF"/>
    <w:rsid w:val="00683E5E"/>
    <w:rsid w:val="00687651"/>
    <w:rsid w:val="00687805"/>
    <w:rsid w:val="00691C1A"/>
    <w:rsid w:val="006930C0"/>
    <w:rsid w:val="006967DB"/>
    <w:rsid w:val="006977E0"/>
    <w:rsid w:val="006A203C"/>
    <w:rsid w:val="006A3686"/>
    <w:rsid w:val="006A61AE"/>
    <w:rsid w:val="006B1E08"/>
    <w:rsid w:val="006B3FC1"/>
    <w:rsid w:val="006B68E0"/>
    <w:rsid w:val="006C0556"/>
    <w:rsid w:val="006C6B8E"/>
    <w:rsid w:val="006D11BB"/>
    <w:rsid w:val="006D4639"/>
    <w:rsid w:val="006D4C12"/>
    <w:rsid w:val="006D62D0"/>
    <w:rsid w:val="006E1A48"/>
    <w:rsid w:val="006F098D"/>
    <w:rsid w:val="006F1141"/>
    <w:rsid w:val="006F3FD8"/>
    <w:rsid w:val="006F522A"/>
    <w:rsid w:val="006F6870"/>
    <w:rsid w:val="006F6B2E"/>
    <w:rsid w:val="006F6B94"/>
    <w:rsid w:val="00705FFF"/>
    <w:rsid w:val="00706212"/>
    <w:rsid w:val="007066F1"/>
    <w:rsid w:val="00710531"/>
    <w:rsid w:val="007133D1"/>
    <w:rsid w:val="00725BF3"/>
    <w:rsid w:val="00727ACD"/>
    <w:rsid w:val="00730796"/>
    <w:rsid w:val="00733824"/>
    <w:rsid w:val="00735267"/>
    <w:rsid w:val="007370A0"/>
    <w:rsid w:val="00743843"/>
    <w:rsid w:val="007447EB"/>
    <w:rsid w:val="00745E06"/>
    <w:rsid w:val="00747A5A"/>
    <w:rsid w:val="00752DD3"/>
    <w:rsid w:val="00753838"/>
    <w:rsid w:val="00756A87"/>
    <w:rsid w:val="0076227C"/>
    <w:rsid w:val="007629EB"/>
    <w:rsid w:val="00767F3F"/>
    <w:rsid w:val="007706D2"/>
    <w:rsid w:val="007774AE"/>
    <w:rsid w:val="0078247B"/>
    <w:rsid w:val="00787E99"/>
    <w:rsid w:val="007920F2"/>
    <w:rsid w:val="00796010"/>
    <w:rsid w:val="007A3490"/>
    <w:rsid w:val="007A4435"/>
    <w:rsid w:val="007A51A0"/>
    <w:rsid w:val="007A5510"/>
    <w:rsid w:val="007A5E8B"/>
    <w:rsid w:val="007B0C1C"/>
    <w:rsid w:val="007B1BE4"/>
    <w:rsid w:val="007B2F16"/>
    <w:rsid w:val="007B7BA8"/>
    <w:rsid w:val="007C0A9E"/>
    <w:rsid w:val="007C15F4"/>
    <w:rsid w:val="007C2763"/>
    <w:rsid w:val="007C3962"/>
    <w:rsid w:val="007C5084"/>
    <w:rsid w:val="007C5A5B"/>
    <w:rsid w:val="007C5F51"/>
    <w:rsid w:val="007D1534"/>
    <w:rsid w:val="007D2194"/>
    <w:rsid w:val="007E2264"/>
    <w:rsid w:val="007F30B7"/>
    <w:rsid w:val="00801011"/>
    <w:rsid w:val="00802DF7"/>
    <w:rsid w:val="00803E67"/>
    <w:rsid w:val="00803EF8"/>
    <w:rsid w:val="0080479D"/>
    <w:rsid w:val="008104DC"/>
    <w:rsid w:val="00814F32"/>
    <w:rsid w:val="00815C2D"/>
    <w:rsid w:val="00822653"/>
    <w:rsid w:val="00823849"/>
    <w:rsid w:val="00832291"/>
    <w:rsid w:val="008327BA"/>
    <w:rsid w:val="008343C0"/>
    <w:rsid w:val="0083506B"/>
    <w:rsid w:val="008362BC"/>
    <w:rsid w:val="00841A21"/>
    <w:rsid w:val="00842785"/>
    <w:rsid w:val="00853509"/>
    <w:rsid w:val="00857AE8"/>
    <w:rsid w:val="00861580"/>
    <w:rsid w:val="00861E97"/>
    <w:rsid w:val="0086743B"/>
    <w:rsid w:val="00872E4A"/>
    <w:rsid w:val="00876319"/>
    <w:rsid w:val="008821D5"/>
    <w:rsid w:val="008821D6"/>
    <w:rsid w:val="00885807"/>
    <w:rsid w:val="00895852"/>
    <w:rsid w:val="00895909"/>
    <w:rsid w:val="008B2CE6"/>
    <w:rsid w:val="008B5B59"/>
    <w:rsid w:val="008B6B74"/>
    <w:rsid w:val="008B74DF"/>
    <w:rsid w:val="008C089C"/>
    <w:rsid w:val="008C17F1"/>
    <w:rsid w:val="008C1A98"/>
    <w:rsid w:val="008C2979"/>
    <w:rsid w:val="008C3638"/>
    <w:rsid w:val="008C3ACB"/>
    <w:rsid w:val="008C51BE"/>
    <w:rsid w:val="008D3B29"/>
    <w:rsid w:val="008D4B28"/>
    <w:rsid w:val="008D5AF3"/>
    <w:rsid w:val="008F0D71"/>
    <w:rsid w:val="008F1198"/>
    <w:rsid w:val="008F1E7F"/>
    <w:rsid w:val="008F24E3"/>
    <w:rsid w:val="008F628A"/>
    <w:rsid w:val="00906E6F"/>
    <w:rsid w:val="00907FD0"/>
    <w:rsid w:val="00913688"/>
    <w:rsid w:val="00917BAD"/>
    <w:rsid w:val="00917DEF"/>
    <w:rsid w:val="0092038B"/>
    <w:rsid w:val="00926632"/>
    <w:rsid w:val="009279C6"/>
    <w:rsid w:val="009314BD"/>
    <w:rsid w:val="00931A8A"/>
    <w:rsid w:val="00934FD9"/>
    <w:rsid w:val="00940CD5"/>
    <w:rsid w:val="009433AB"/>
    <w:rsid w:val="00950183"/>
    <w:rsid w:val="00955F5E"/>
    <w:rsid w:val="0095667A"/>
    <w:rsid w:val="009604A5"/>
    <w:rsid w:val="00961E1B"/>
    <w:rsid w:val="00966A93"/>
    <w:rsid w:val="00967D68"/>
    <w:rsid w:val="00967FEE"/>
    <w:rsid w:val="009715C1"/>
    <w:rsid w:val="00973DC7"/>
    <w:rsid w:val="0097614A"/>
    <w:rsid w:val="0098161F"/>
    <w:rsid w:val="00981E1C"/>
    <w:rsid w:val="00982FB0"/>
    <w:rsid w:val="00983ECB"/>
    <w:rsid w:val="0098513F"/>
    <w:rsid w:val="0098554B"/>
    <w:rsid w:val="009A0B1B"/>
    <w:rsid w:val="009A1F29"/>
    <w:rsid w:val="009B4AE8"/>
    <w:rsid w:val="009C3C8E"/>
    <w:rsid w:val="009C53FB"/>
    <w:rsid w:val="009C64C8"/>
    <w:rsid w:val="009D2EA1"/>
    <w:rsid w:val="009D31D7"/>
    <w:rsid w:val="009D6665"/>
    <w:rsid w:val="009E6DA2"/>
    <w:rsid w:val="009F3649"/>
    <w:rsid w:val="009F4713"/>
    <w:rsid w:val="00A00803"/>
    <w:rsid w:val="00A01724"/>
    <w:rsid w:val="00A04820"/>
    <w:rsid w:val="00A06775"/>
    <w:rsid w:val="00A077F4"/>
    <w:rsid w:val="00A11E78"/>
    <w:rsid w:val="00A135CA"/>
    <w:rsid w:val="00A16FE1"/>
    <w:rsid w:val="00A17451"/>
    <w:rsid w:val="00A200CA"/>
    <w:rsid w:val="00A24E07"/>
    <w:rsid w:val="00A26B31"/>
    <w:rsid w:val="00A27591"/>
    <w:rsid w:val="00A278BB"/>
    <w:rsid w:val="00A365D2"/>
    <w:rsid w:val="00A3771B"/>
    <w:rsid w:val="00A4242F"/>
    <w:rsid w:val="00A42C8E"/>
    <w:rsid w:val="00A43766"/>
    <w:rsid w:val="00A47FD8"/>
    <w:rsid w:val="00A51692"/>
    <w:rsid w:val="00A6298D"/>
    <w:rsid w:val="00A63362"/>
    <w:rsid w:val="00A638D1"/>
    <w:rsid w:val="00A6678F"/>
    <w:rsid w:val="00A709DB"/>
    <w:rsid w:val="00A71728"/>
    <w:rsid w:val="00A820EE"/>
    <w:rsid w:val="00A82846"/>
    <w:rsid w:val="00A85DD4"/>
    <w:rsid w:val="00A87095"/>
    <w:rsid w:val="00A87674"/>
    <w:rsid w:val="00AA01CA"/>
    <w:rsid w:val="00AA7FC4"/>
    <w:rsid w:val="00AB01CA"/>
    <w:rsid w:val="00AB0C17"/>
    <w:rsid w:val="00AB1CD2"/>
    <w:rsid w:val="00AB1F43"/>
    <w:rsid w:val="00AB735F"/>
    <w:rsid w:val="00AB789B"/>
    <w:rsid w:val="00AC1B5B"/>
    <w:rsid w:val="00AC4668"/>
    <w:rsid w:val="00AC469B"/>
    <w:rsid w:val="00AC54CE"/>
    <w:rsid w:val="00AC7B95"/>
    <w:rsid w:val="00AD0D9B"/>
    <w:rsid w:val="00AD6670"/>
    <w:rsid w:val="00AD7EB2"/>
    <w:rsid w:val="00AE26CB"/>
    <w:rsid w:val="00AE3288"/>
    <w:rsid w:val="00AF0563"/>
    <w:rsid w:val="00AF34A2"/>
    <w:rsid w:val="00B00362"/>
    <w:rsid w:val="00B017C0"/>
    <w:rsid w:val="00B04152"/>
    <w:rsid w:val="00B0601F"/>
    <w:rsid w:val="00B06379"/>
    <w:rsid w:val="00B12D1C"/>
    <w:rsid w:val="00B12E49"/>
    <w:rsid w:val="00B22CED"/>
    <w:rsid w:val="00B25869"/>
    <w:rsid w:val="00B26CA8"/>
    <w:rsid w:val="00B30EBD"/>
    <w:rsid w:val="00B332DE"/>
    <w:rsid w:val="00B36ABD"/>
    <w:rsid w:val="00B36B8F"/>
    <w:rsid w:val="00B51A15"/>
    <w:rsid w:val="00B54B31"/>
    <w:rsid w:val="00B6023F"/>
    <w:rsid w:val="00B624DC"/>
    <w:rsid w:val="00B674FC"/>
    <w:rsid w:val="00B7018E"/>
    <w:rsid w:val="00B71045"/>
    <w:rsid w:val="00B72099"/>
    <w:rsid w:val="00B85C36"/>
    <w:rsid w:val="00B86A08"/>
    <w:rsid w:val="00B86BE6"/>
    <w:rsid w:val="00B87C49"/>
    <w:rsid w:val="00B947B4"/>
    <w:rsid w:val="00B960C5"/>
    <w:rsid w:val="00B96722"/>
    <w:rsid w:val="00BA0884"/>
    <w:rsid w:val="00BA45F1"/>
    <w:rsid w:val="00BB0898"/>
    <w:rsid w:val="00BB4AE8"/>
    <w:rsid w:val="00BC05B0"/>
    <w:rsid w:val="00BC5658"/>
    <w:rsid w:val="00BC5DF4"/>
    <w:rsid w:val="00BD16FC"/>
    <w:rsid w:val="00BD2505"/>
    <w:rsid w:val="00BD6BE4"/>
    <w:rsid w:val="00BE0E9D"/>
    <w:rsid w:val="00BE1269"/>
    <w:rsid w:val="00BE3150"/>
    <w:rsid w:val="00BE37D4"/>
    <w:rsid w:val="00BE4CB1"/>
    <w:rsid w:val="00BF6969"/>
    <w:rsid w:val="00C013FB"/>
    <w:rsid w:val="00C02E85"/>
    <w:rsid w:val="00C02EC6"/>
    <w:rsid w:val="00C02F10"/>
    <w:rsid w:val="00C031CE"/>
    <w:rsid w:val="00C03E6B"/>
    <w:rsid w:val="00C04BAC"/>
    <w:rsid w:val="00C04C76"/>
    <w:rsid w:val="00C04F80"/>
    <w:rsid w:val="00C103E7"/>
    <w:rsid w:val="00C26B22"/>
    <w:rsid w:val="00C33148"/>
    <w:rsid w:val="00C34B87"/>
    <w:rsid w:val="00C35BC7"/>
    <w:rsid w:val="00C41108"/>
    <w:rsid w:val="00C444AD"/>
    <w:rsid w:val="00C509BA"/>
    <w:rsid w:val="00C51AE8"/>
    <w:rsid w:val="00C56AD5"/>
    <w:rsid w:val="00C56F88"/>
    <w:rsid w:val="00C5772E"/>
    <w:rsid w:val="00C57CBE"/>
    <w:rsid w:val="00C61A86"/>
    <w:rsid w:val="00C62FE5"/>
    <w:rsid w:val="00C632D7"/>
    <w:rsid w:val="00C64F94"/>
    <w:rsid w:val="00C65388"/>
    <w:rsid w:val="00C666A9"/>
    <w:rsid w:val="00C75307"/>
    <w:rsid w:val="00C8093B"/>
    <w:rsid w:val="00C818DF"/>
    <w:rsid w:val="00C82531"/>
    <w:rsid w:val="00C87303"/>
    <w:rsid w:val="00C9076B"/>
    <w:rsid w:val="00C93156"/>
    <w:rsid w:val="00C94260"/>
    <w:rsid w:val="00C95805"/>
    <w:rsid w:val="00C96645"/>
    <w:rsid w:val="00C969CE"/>
    <w:rsid w:val="00CA24F9"/>
    <w:rsid w:val="00CA3BCB"/>
    <w:rsid w:val="00CA6286"/>
    <w:rsid w:val="00CC3A1E"/>
    <w:rsid w:val="00CC48CF"/>
    <w:rsid w:val="00CC4A2A"/>
    <w:rsid w:val="00CC76BE"/>
    <w:rsid w:val="00CD0211"/>
    <w:rsid w:val="00CD06EE"/>
    <w:rsid w:val="00CD0C7A"/>
    <w:rsid w:val="00CD2F82"/>
    <w:rsid w:val="00CD3B1E"/>
    <w:rsid w:val="00CD4547"/>
    <w:rsid w:val="00CE0359"/>
    <w:rsid w:val="00CE06E5"/>
    <w:rsid w:val="00CE0C88"/>
    <w:rsid w:val="00CE2D0D"/>
    <w:rsid w:val="00CE5827"/>
    <w:rsid w:val="00CF052F"/>
    <w:rsid w:val="00CF4665"/>
    <w:rsid w:val="00CF6D56"/>
    <w:rsid w:val="00CF7A3A"/>
    <w:rsid w:val="00D0058F"/>
    <w:rsid w:val="00D04745"/>
    <w:rsid w:val="00D14214"/>
    <w:rsid w:val="00D14ED4"/>
    <w:rsid w:val="00D15EA0"/>
    <w:rsid w:val="00D170AD"/>
    <w:rsid w:val="00D20BDF"/>
    <w:rsid w:val="00D20CB4"/>
    <w:rsid w:val="00D211B5"/>
    <w:rsid w:val="00D22115"/>
    <w:rsid w:val="00D224A9"/>
    <w:rsid w:val="00D258C0"/>
    <w:rsid w:val="00D25EE5"/>
    <w:rsid w:val="00D301D1"/>
    <w:rsid w:val="00D30F82"/>
    <w:rsid w:val="00D3582E"/>
    <w:rsid w:val="00D40CEC"/>
    <w:rsid w:val="00D438B9"/>
    <w:rsid w:val="00D44148"/>
    <w:rsid w:val="00D45604"/>
    <w:rsid w:val="00D46EC2"/>
    <w:rsid w:val="00D5152B"/>
    <w:rsid w:val="00D51572"/>
    <w:rsid w:val="00D53F2F"/>
    <w:rsid w:val="00D54A2B"/>
    <w:rsid w:val="00D54C4C"/>
    <w:rsid w:val="00D55FD2"/>
    <w:rsid w:val="00D56DB5"/>
    <w:rsid w:val="00D62985"/>
    <w:rsid w:val="00D63DAD"/>
    <w:rsid w:val="00D65686"/>
    <w:rsid w:val="00D66EC1"/>
    <w:rsid w:val="00D678F0"/>
    <w:rsid w:val="00D733B1"/>
    <w:rsid w:val="00D73BFE"/>
    <w:rsid w:val="00D74F0D"/>
    <w:rsid w:val="00D815FE"/>
    <w:rsid w:val="00D81913"/>
    <w:rsid w:val="00D866ED"/>
    <w:rsid w:val="00D87BBA"/>
    <w:rsid w:val="00DA424B"/>
    <w:rsid w:val="00DB21B4"/>
    <w:rsid w:val="00DB4B22"/>
    <w:rsid w:val="00DB6372"/>
    <w:rsid w:val="00DB7C9A"/>
    <w:rsid w:val="00DC05E6"/>
    <w:rsid w:val="00DC0BA7"/>
    <w:rsid w:val="00DC1D2F"/>
    <w:rsid w:val="00DC24E2"/>
    <w:rsid w:val="00DC25E1"/>
    <w:rsid w:val="00DC6D23"/>
    <w:rsid w:val="00DD0357"/>
    <w:rsid w:val="00DD3667"/>
    <w:rsid w:val="00DD7CBE"/>
    <w:rsid w:val="00DD7F33"/>
    <w:rsid w:val="00DE04C8"/>
    <w:rsid w:val="00DE0E74"/>
    <w:rsid w:val="00DE1FA2"/>
    <w:rsid w:val="00DE2862"/>
    <w:rsid w:val="00DE2E14"/>
    <w:rsid w:val="00DF176D"/>
    <w:rsid w:val="00DF241E"/>
    <w:rsid w:val="00DF2A75"/>
    <w:rsid w:val="00E02542"/>
    <w:rsid w:val="00E10778"/>
    <w:rsid w:val="00E17BF5"/>
    <w:rsid w:val="00E43E09"/>
    <w:rsid w:val="00E51303"/>
    <w:rsid w:val="00E5199B"/>
    <w:rsid w:val="00E52B3B"/>
    <w:rsid w:val="00E542BA"/>
    <w:rsid w:val="00E55896"/>
    <w:rsid w:val="00E56361"/>
    <w:rsid w:val="00E57DCD"/>
    <w:rsid w:val="00E57E9D"/>
    <w:rsid w:val="00E6267D"/>
    <w:rsid w:val="00E6333C"/>
    <w:rsid w:val="00E6740B"/>
    <w:rsid w:val="00E70879"/>
    <w:rsid w:val="00E71C8F"/>
    <w:rsid w:val="00E74332"/>
    <w:rsid w:val="00E83935"/>
    <w:rsid w:val="00E861C8"/>
    <w:rsid w:val="00E87468"/>
    <w:rsid w:val="00E87CB6"/>
    <w:rsid w:val="00E91CE7"/>
    <w:rsid w:val="00E92EE3"/>
    <w:rsid w:val="00E975A1"/>
    <w:rsid w:val="00EA1420"/>
    <w:rsid w:val="00EA1D6C"/>
    <w:rsid w:val="00EA3C05"/>
    <w:rsid w:val="00EB07FF"/>
    <w:rsid w:val="00EB1997"/>
    <w:rsid w:val="00EB3C05"/>
    <w:rsid w:val="00EB570C"/>
    <w:rsid w:val="00EB576B"/>
    <w:rsid w:val="00EB6164"/>
    <w:rsid w:val="00EB6896"/>
    <w:rsid w:val="00EB6983"/>
    <w:rsid w:val="00EB6D05"/>
    <w:rsid w:val="00EB7E19"/>
    <w:rsid w:val="00EC49A8"/>
    <w:rsid w:val="00ED0753"/>
    <w:rsid w:val="00EE19FA"/>
    <w:rsid w:val="00EE72D4"/>
    <w:rsid w:val="00EE7945"/>
    <w:rsid w:val="00EF0F83"/>
    <w:rsid w:val="00EF1922"/>
    <w:rsid w:val="00EF2B6F"/>
    <w:rsid w:val="00EF38D9"/>
    <w:rsid w:val="00EF3AC6"/>
    <w:rsid w:val="00EF7FAA"/>
    <w:rsid w:val="00F00270"/>
    <w:rsid w:val="00F02831"/>
    <w:rsid w:val="00F116E7"/>
    <w:rsid w:val="00F11DF4"/>
    <w:rsid w:val="00F11F2B"/>
    <w:rsid w:val="00F22098"/>
    <w:rsid w:val="00F2306C"/>
    <w:rsid w:val="00F2435A"/>
    <w:rsid w:val="00F254DC"/>
    <w:rsid w:val="00F26EBD"/>
    <w:rsid w:val="00F27A48"/>
    <w:rsid w:val="00F34682"/>
    <w:rsid w:val="00F36926"/>
    <w:rsid w:val="00F4045E"/>
    <w:rsid w:val="00F42B63"/>
    <w:rsid w:val="00F45FCB"/>
    <w:rsid w:val="00F50151"/>
    <w:rsid w:val="00F51944"/>
    <w:rsid w:val="00F545FE"/>
    <w:rsid w:val="00F5587F"/>
    <w:rsid w:val="00F55C08"/>
    <w:rsid w:val="00F5665B"/>
    <w:rsid w:val="00F579EE"/>
    <w:rsid w:val="00F650B3"/>
    <w:rsid w:val="00F6694E"/>
    <w:rsid w:val="00F670F8"/>
    <w:rsid w:val="00F70358"/>
    <w:rsid w:val="00F73AE9"/>
    <w:rsid w:val="00F8278A"/>
    <w:rsid w:val="00F84A7F"/>
    <w:rsid w:val="00F85908"/>
    <w:rsid w:val="00F950CC"/>
    <w:rsid w:val="00F9529F"/>
    <w:rsid w:val="00F97FE3"/>
    <w:rsid w:val="00FA0ABF"/>
    <w:rsid w:val="00FA1532"/>
    <w:rsid w:val="00FA15F3"/>
    <w:rsid w:val="00FA166D"/>
    <w:rsid w:val="00FA7A22"/>
    <w:rsid w:val="00FB1446"/>
    <w:rsid w:val="00FB7BCA"/>
    <w:rsid w:val="00FB7BD5"/>
    <w:rsid w:val="00FC32FE"/>
    <w:rsid w:val="00FC3A82"/>
    <w:rsid w:val="00FC56FB"/>
    <w:rsid w:val="00FD04B6"/>
    <w:rsid w:val="00FD2511"/>
    <w:rsid w:val="00FD4914"/>
    <w:rsid w:val="00FD5113"/>
    <w:rsid w:val="00FE07EE"/>
    <w:rsid w:val="00FE098B"/>
    <w:rsid w:val="00FE488D"/>
    <w:rsid w:val="00FE52A9"/>
    <w:rsid w:val="00FE745C"/>
    <w:rsid w:val="00FF3D8C"/>
    <w:rsid w:val="00FF4092"/>
    <w:rsid w:val="00FF7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94262">
      <w:bodyDiv w:val="1"/>
      <w:marLeft w:val="0"/>
      <w:marRight w:val="0"/>
      <w:marTop w:val="0"/>
      <w:marBottom w:val="0"/>
      <w:divBdr>
        <w:top w:val="none" w:sz="0" w:space="0" w:color="auto"/>
        <w:left w:val="none" w:sz="0" w:space="0" w:color="auto"/>
        <w:bottom w:val="none" w:sz="0" w:space="0" w:color="auto"/>
        <w:right w:val="none" w:sz="0" w:space="0" w:color="auto"/>
      </w:divBdr>
    </w:div>
    <w:div w:id="690762339">
      <w:bodyDiv w:val="1"/>
      <w:marLeft w:val="0"/>
      <w:marRight w:val="0"/>
      <w:marTop w:val="0"/>
      <w:marBottom w:val="0"/>
      <w:divBdr>
        <w:top w:val="none" w:sz="0" w:space="0" w:color="auto"/>
        <w:left w:val="none" w:sz="0" w:space="0" w:color="auto"/>
        <w:bottom w:val="none" w:sz="0" w:space="0" w:color="auto"/>
        <w:right w:val="none" w:sz="0" w:space="0" w:color="auto"/>
      </w:divBdr>
    </w:div>
    <w:div w:id="931358486">
      <w:bodyDiv w:val="1"/>
      <w:marLeft w:val="0"/>
      <w:marRight w:val="0"/>
      <w:marTop w:val="0"/>
      <w:marBottom w:val="0"/>
      <w:divBdr>
        <w:top w:val="none" w:sz="0" w:space="0" w:color="auto"/>
        <w:left w:val="none" w:sz="0" w:space="0" w:color="auto"/>
        <w:bottom w:val="none" w:sz="0" w:space="0" w:color="auto"/>
        <w:right w:val="none" w:sz="0" w:space="0" w:color="auto"/>
      </w:divBdr>
    </w:div>
    <w:div w:id="933897416">
      <w:bodyDiv w:val="1"/>
      <w:marLeft w:val="0"/>
      <w:marRight w:val="0"/>
      <w:marTop w:val="0"/>
      <w:marBottom w:val="0"/>
      <w:divBdr>
        <w:top w:val="none" w:sz="0" w:space="0" w:color="auto"/>
        <w:left w:val="none" w:sz="0" w:space="0" w:color="auto"/>
        <w:bottom w:val="none" w:sz="0" w:space="0" w:color="auto"/>
        <w:right w:val="none" w:sz="0" w:space="0" w:color="auto"/>
      </w:divBdr>
    </w:div>
    <w:div w:id="1208835234">
      <w:bodyDiv w:val="1"/>
      <w:marLeft w:val="0"/>
      <w:marRight w:val="0"/>
      <w:marTop w:val="0"/>
      <w:marBottom w:val="0"/>
      <w:divBdr>
        <w:top w:val="none" w:sz="0" w:space="0" w:color="auto"/>
        <w:left w:val="none" w:sz="0" w:space="0" w:color="auto"/>
        <w:bottom w:val="none" w:sz="0" w:space="0" w:color="auto"/>
        <w:right w:val="none" w:sz="0" w:space="0" w:color="auto"/>
      </w:divBdr>
    </w:div>
    <w:div w:id="1370640571">
      <w:bodyDiv w:val="1"/>
      <w:marLeft w:val="0"/>
      <w:marRight w:val="0"/>
      <w:marTop w:val="0"/>
      <w:marBottom w:val="0"/>
      <w:divBdr>
        <w:top w:val="none" w:sz="0" w:space="0" w:color="auto"/>
        <w:left w:val="none" w:sz="0" w:space="0" w:color="auto"/>
        <w:bottom w:val="none" w:sz="0" w:space="0" w:color="auto"/>
        <w:right w:val="none" w:sz="0" w:space="0" w:color="auto"/>
      </w:divBdr>
    </w:div>
    <w:div w:id="1758551698">
      <w:bodyDiv w:val="1"/>
      <w:marLeft w:val="0"/>
      <w:marRight w:val="0"/>
      <w:marTop w:val="0"/>
      <w:marBottom w:val="0"/>
      <w:divBdr>
        <w:top w:val="none" w:sz="0" w:space="0" w:color="auto"/>
        <w:left w:val="none" w:sz="0" w:space="0" w:color="auto"/>
        <w:bottom w:val="none" w:sz="0" w:space="0" w:color="auto"/>
        <w:right w:val="none" w:sz="0" w:space="0" w:color="auto"/>
      </w:divBdr>
    </w:div>
    <w:div w:id="2029019311">
      <w:bodyDiv w:val="1"/>
      <w:marLeft w:val="0"/>
      <w:marRight w:val="0"/>
      <w:marTop w:val="0"/>
      <w:marBottom w:val="0"/>
      <w:divBdr>
        <w:top w:val="none" w:sz="0" w:space="0" w:color="auto"/>
        <w:left w:val="none" w:sz="0" w:space="0" w:color="auto"/>
        <w:bottom w:val="none" w:sz="0" w:space="0" w:color="auto"/>
        <w:right w:val="none" w:sz="0" w:space="0" w:color="auto"/>
      </w:divBdr>
    </w:div>
    <w:div w:id="2136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Info BC Communication</cp:lastModifiedBy>
  <cp:revision>119</cp:revision>
  <dcterms:created xsi:type="dcterms:W3CDTF">2024-01-22T08:14:00Z</dcterms:created>
  <dcterms:modified xsi:type="dcterms:W3CDTF">2024-04-30T07:27:00Z</dcterms:modified>
</cp:coreProperties>
</file>