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</w:rPr>
        <w:drawing>
          <wp:inline distB="114300" distT="114300" distL="114300" distR="114300">
            <wp:extent cx="2243138" cy="876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Pubblicata la graduatoria definitiva della misura a sostegno dell’editoria. Contributi per 2,06 mln a 107 imprese diverse.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Pubblicata la graduatoria definitiva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353535"/>
          <w:highlight w:val="white"/>
          <w:rtl w:val="0"/>
        </w:rPr>
        <w:t xml:space="preserve">aggiornate con delibera del Comitato Fondo Sicilia del 29/04/2024)</w:t>
      </w:r>
      <w:r w:rsidDel="00000000" w:rsidR="00000000" w:rsidRPr="00000000">
        <w:rPr>
          <w:rFonts w:ascii="Courier New" w:cs="Courier New" w:eastAsia="Courier New" w:hAnsi="Courier New"/>
          <w:b w:val="1"/>
          <w:color w:val="353535"/>
          <w:highlight w:val="whit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della misura a sostegno dell’editoria messa in campo dal Governo della Regione e gestita dall’Irfis. Sono stati 107 i beneficiari (divisi in quattro categorie diverse) ammessi al contributo da 2.06 milioni di euro complessivo, 12 le domande escluse per mancanza di requisiti. 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 particolare l’Irfis prevede di erogare le risorse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entro il mese di maggio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. La parte più consistente va all’editoria online che si aggiudica contributi per 1,01 milioni divisi tra 45 soggetti diversi. All’editoria cartacea non quotidiana saranno assegnati 80.214 euro divise in 7 posizioni diverse. Alle Tv contributi per 708 mila euro per 29 posizioni e alle Radio 269 mila euro per 26 posizioni diverse. </w:t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Qui la pagina della misura con la graduatoria: </w:t>
      </w: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u w:val="single"/>
            <w:rtl w:val="0"/>
          </w:rPr>
          <w:t xml:space="preserve">https://www.irfis.it/editoria-2024</w:t>
        </w:r>
      </w:hyperlink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Per info: Antonio Giordano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328 4253398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irfis.it/editoria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