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FC41B" w14:textId="77777777" w:rsidR="009E39B8" w:rsidRPr="009E39B8" w:rsidRDefault="009E39B8" w:rsidP="009E39B8">
      <w:pPr>
        <w:spacing w:line="240" w:lineRule="auto"/>
        <w:rPr>
          <w:rFonts w:cstheme="minorHAnsi"/>
          <w:b/>
          <w:bCs/>
          <w:color w:val="3B3838" w:themeColor="background2" w:themeShade="40"/>
          <w:lang w:val="it-IT"/>
        </w:rPr>
      </w:pPr>
      <w:r w:rsidRPr="009E39B8">
        <w:rPr>
          <w:rFonts w:cstheme="minorHAnsi"/>
          <w:b/>
          <w:bCs/>
          <w:color w:val="3B3838" w:themeColor="background2" w:themeShade="40"/>
          <w:lang w:val="it-IT"/>
        </w:rPr>
        <w:t>T. Rowe Price - Azioni: c’è ancora spazio per crescere puntando sul value</w:t>
      </w:r>
    </w:p>
    <w:p w14:paraId="07AE19D5" w14:textId="7AD481A0" w:rsidR="00616CFB" w:rsidRPr="007B2CF9" w:rsidRDefault="009E39B8" w:rsidP="009E39B8">
      <w:pPr>
        <w:spacing w:line="240" w:lineRule="auto"/>
        <w:rPr>
          <w:rFonts w:cstheme="minorHAnsi"/>
          <w:b/>
          <w:bCs/>
          <w:color w:val="3B3838" w:themeColor="background2" w:themeShade="40"/>
          <w:lang w:val="it-IT"/>
        </w:rPr>
      </w:pPr>
      <w:r w:rsidRPr="007B2CF9">
        <w:rPr>
          <w:rFonts w:cstheme="minorHAnsi"/>
          <w:color w:val="3B3838" w:themeColor="background2" w:themeShade="40"/>
          <w:lang w:val="it-IT"/>
        </w:rPr>
        <w:t>A cura di</w:t>
      </w:r>
      <w:r w:rsidRPr="007B2CF9">
        <w:rPr>
          <w:rFonts w:cstheme="minorHAnsi"/>
          <w:b/>
          <w:bCs/>
          <w:color w:val="3B3838" w:themeColor="background2" w:themeShade="40"/>
          <w:lang w:val="it-IT"/>
        </w:rPr>
        <w:t xml:space="preserve"> Ritu Vohora, Investment Specialist, Capital markets, T. Rowe Price</w:t>
      </w:r>
    </w:p>
    <w:p w14:paraId="0578BD56" w14:textId="77777777" w:rsidR="009E39B8" w:rsidRPr="007B2CF9" w:rsidRDefault="009E39B8" w:rsidP="00E131C4">
      <w:pPr>
        <w:rPr>
          <w:b/>
          <w:bCs/>
          <w:sz w:val="28"/>
          <w:szCs w:val="28"/>
          <w:lang w:val="it-IT"/>
        </w:rPr>
      </w:pPr>
    </w:p>
    <w:p w14:paraId="3E605204" w14:textId="51C1041A" w:rsidR="00114D01" w:rsidRPr="00114D01" w:rsidRDefault="00114D01" w:rsidP="00114D01">
      <w:pPr>
        <w:rPr>
          <w:lang w:val="it-IT"/>
        </w:rPr>
      </w:pPr>
      <w:r w:rsidRPr="00114D01">
        <w:rPr>
          <w:lang w:val="it-IT"/>
        </w:rPr>
        <w:t xml:space="preserve">Dopo che nel 2023 la maggior parte delle </w:t>
      </w:r>
      <w:r w:rsidR="00EE618E">
        <w:rPr>
          <w:lang w:val="it-IT"/>
        </w:rPr>
        <w:t>asset class</w:t>
      </w:r>
      <w:r w:rsidRPr="00114D01">
        <w:rPr>
          <w:lang w:val="it-IT"/>
        </w:rPr>
        <w:t xml:space="preserve"> ha registrato rendimenti straordinari, nella prima metà di quest'anno la performance del mercato è stata più contenuta. Mentre le principali </w:t>
      </w:r>
      <w:r w:rsidR="00582C68">
        <w:rPr>
          <w:lang w:val="it-IT"/>
        </w:rPr>
        <w:t>Borse –</w:t>
      </w:r>
      <w:r w:rsidRPr="00114D01">
        <w:rPr>
          <w:lang w:val="it-IT"/>
        </w:rPr>
        <w:t xml:space="preserve"> con in testa </w:t>
      </w:r>
      <w:r w:rsidR="00582C68">
        <w:rPr>
          <w:lang w:val="it-IT"/>
        </w:rPr>
        <w:t>quella americana</w:t>
      </w:r>
      <w:r w:rsidRPr="00114D01">
        <w:rPr>
          <w:lang w:val="it-IT"/>
        </w:rPr>
        <w:t xml:space="preserve"> </w:t>
      </w:r>
      <w:r w:rsidR="00582C68">
        <w:rPr>
          <w:lang w:val="it-IT"/>
        </w:rPr>
        <w:t xml:space="preserve">– </w:t>
      </w:r>
      <w:r w:rsidRPr="00114D01">
        <w:rPr>
          <w:lang w:val="it-IT"/>
        </w:rPr>
        <w:t>hanno continuato a salire negli ultimi mesi, gli investitori hanno trovato condizioni molto più difficili</w:t>
      </w:r>
      <w:r w:rsidR="007B2CF9">
        <w:rPr>
          <w:lang w:val="it-IT"/>
        </w:rPr>
        <w:t xml:space="preserve"> </w:t>
      </w:r>
      <w:r w:rsidR="007B2CF9" w:rsidRPr="00114D01">
        <w:rPr>
          <w:lang w:val="it-IT"/>
        </w:rPr>
        <w:t>nel reddito fisso</w:t>
      </w:r>
      <w:r w:rsidRPr="00114D01">
        <w:rPr>
          <w:lang w:val="it-IT"/>
        </w:rPr>
        <w:t xml:space="preserve">. </w:t>
      </w:r>
      <w:r w:rsidR="00582C68">
        <w:rPr>
          <w:lang w:val="it-IT"/>
        </w:rPr>
        <w:t>In</w:t>
      </w:r>
      <w:r w:rsidRPr="00114D01">
        <w:rPr>
          <w:lang w:val="it-IT"/>
        </w:rPr>
        <w:t xml:space="preserve"> prossimità della metà dell'anno, è</w:t>
      </w:r>
      <w:r w:rsidR="00582C68">
        <w:rPr>
          <w:lang w:val="it-IT"/>
        </w:rPr>
        <w:t xml:space="preserve"> ora di val</w:t>
      </w:r>
      <w:r w:rsidRPr="00114D01">
        <w:rPr>
          <w:lang w:val="it-IT"/>
        </w:rPr>
        <w:t xml:space="preserve">utare l'attuale situazione dei mercati ed esaminare i probabili fattori di rendimento per il resto dell'anno e </w:t>
      </w:r>
      <w:r w:rsidR="00582C68">
        <w:rPr>
          <w:lang w:val="it-IT"/>
        </w:rPr>
        <w:t xml:space="preserve">anche </w:t>
      </w:r>
      <w:r w:rsidRPr="00114D01">
        <w:rPr>
          <w:lang w:val="it-IT"/>
        </w:rPr>
        <w:t>oltre.</w:t>
      </w:r>
    </w:p>
    <w:p w14:paraId="0835B2CC" w14:textId="7002196D" w:rsidR="00114D01" w:rsidRPr="00114D01" w:rsidRDefault="00582C68" w:rsidP="00114D01">
      <w:pPr>
        <w:rPr>
          <w:b/>
          <w:bCs/>
          <w:lang w:val="it-IT"/>
        </w:rPr>
      </w:pPr>
      <w:r w:rsidRPr="00EC26AA">
        <w:rPr>
          <w:u w:val="single"/>
          <w:lang w:val="it-IT"/>
        </w:rPr>
        <w:t>A</w:t>
      </w:r>
      <w:r w:rsidR="00114D01" w:rsidRPr="00EC26AA">
        <w:rPr>
          <w:u w:val="single"/>
          <w:lang w:val="it-IT"/>
        </w:rPr>
        <w:t>umentare l'esposizione al val</w:t>
      </w:r>
      <w:r w:rsidR="002D64AC" w:rsidRPr="00EC26AA">
        <w:rPr>
          <w:u w:val="single"/>
          <w:lang w:val="it-IT"/>
        </w:rPr>
        <w:t>ue</w:t>
      </w:r>
      <w:r w:rsidR="00114D01">
        <w:rPr>
          <w:b/>
          <w:bCs/>
          <w:lang w:val="it-IT"/>
        </w:rPr>
        <w:br/>
      </w:r>
      <w:r w:rsidR="00114D01" w:rsidRPr="00114D01">
        <w:rPr>
          <w:lang w:val="it-IT"/>
        </w:rPr>
        <w:t>Abbiamo iniziato il 2024 con una posizione sovrappesata</w:t>
      </w:r>
      <w:r>
        <w:rPr>
          <w:lang w:val="it-IT"/>
        </w:rPr>
        <w:t xml:space="preserve"> </w:t>
      </w:r>
      <w:r w:rsidR="00EE618E">
        <w:rPr>
          <w:lang w:val="it-IT"/>
        </w:rPr>
        <w:t>sulle</w:t>
      </w:r>
      <w:r w:rsidR="00EE618E" w:rsidRPr="00114D01">
        <w:rPr>
          <w:lang w:val="it-IT"/>
        </w:rPr>
        <w:t xml:space="preserve"> </w:t>
      </w:r>
      <w:r w:rsidR="00114D01" w:rsidRPr="00114D01">
        <w:rPr>
          <w:lang w:val="it-IT"/>
        </w:rPr>
        <w:t xml:space="preserve">azioni e continuiamo a ritenere che ci </w:t>
      </w:r>
      <w:r w:rsidR="00EE618E">
        <w:rPr>
          <w:lang w:val="it-IT"/>
        </w:rPr>
        <w:t>saranno</w:t>
      </w:r>
      <w:r w:rsidR="00EE618E" w:rsidRPr="00114D01">
        <w:rPr>
          <w:lang w:val="it-IT"/>
        </w:rPr>
        <w:t xml:space="preserve"> </w:t>
      </w:r>
      <w:r w:rsidR="00114D01" w:rsidRPr="00114D01">
        <w:rPr>
          <w:lang w:val="it-IT"/>
        </w:rPr>
        <w:t xml:space="preserve">ulteriori rialzi, dato che gli utili societari su entrambe le sponde dell'Atlantico continuano a migliorare. Nonostante gli Stati Uniti abbiano dominato i rendimenti del mercato azionario sia nel 2023 che nella prima metà di quest'anno, </w:t>
      </w:r>
      <w:r w:rsidR="00114D01" w:rsidRPr="00582C68">
        <w:rPr>
          <w:b/>
          <w:bCs/>
          <w:lang w:val="it-IT"/>
        </w:rPr>
        <w:t>manteniamo un</w:t>
      </w:r>
      <w:r w:rsidRPr="00582C68">
        <w:rPr>
          <w:b/>
          <w:bCs/>
          <w:lang w:val="it-IT"/>
        </w:rPr>
        <w:t xml:space="preserve"> leggero sovrappeso</w:t>
      </w:r>
      <w:r w:rsidR="00114D01" w:rsidRPr="00582C68">
        <w:rPr>
          <w:b/>
          <w:bCs/>
          <w:lang w:val="it-IT"/>
        </w:rPr>
        <w:t xml:space="preserve"> sul mercato azionario </w:t>
      </w:r>
      <w:r>
        <w:rPr>
          <w:b/>
          <w:bCs/>
          <w:lang w:val="it-IT"/>
        </w:rPr>
        <w:t xml:space="preserve">Usa, il </w:t>
      </w:r>
      <w:r w:rsidR="00114D01" w:rsidRPr="00582C68">
        <w:rPr>
          <w:b/>
          <w:bCs/>
          <w:lang w:val="it-IT"/>
        </w:rPr>
        <w:t>più grande del mondo, soprattutto perché la sua economia continua a registrare una solida crescita</w:t>
      </w:r>
      <w:r w:rsidR="00114D01" w:rsidRPr="00114D01">
        <w:rPr>
          <w:lang w:val="it-IT"/>
        </w:rPr>
        <w:t>.</w:t>
      </w:r>
    </w:p>
    <w:p w14:paraId="156DDA43" w14:textId="21B6D6AB" w:rsidR="00114D01" w:rsidRPr="00EE5D82" w:rsidRDefault="00114D01" w:rsidP="00E131C4">
      <w:pPr>
        <w:rPr>
          <w:b/>
          <w:bCs/>
          <w:lang w:val="it-IT"/>
        </w:rPr>
      </w:pPr>
      <w:r w:rsidRPr="00114D01">
        <w:rPr>
          <w:lang w:val="it-IT"/>
        </w:rPr>
        <w:t xml:space="preserve">Gli Stati Uniti sono anche la sede dei leader mondiali dell'IA, un tema su cui manteniamo l'esposizione per il suo potenziale di trasformazione della produttività. Tuttavia, </w:t>
      </w:r>
      <w:r w:rsidRPr="00582C68">
        <w:rPr>
          <w:b/>
          <w:bCs/>
          <w:lang w:val="it-IT"/>
        </w:rPr>
        <w:t xml:space="preserve">data la concentrazione dei benchmark globali sui titoli tecnologici, riteniamo che sia prudente per gli investitori considerare l'allocazione </w:t>
      </w:r>
      <w:r w:rsidR="00582C68" w:rsidRPr="00582C68">
        <w:rPr>
          <w:b/>
          <w:bCs/>
          <w:lang w:val="it-IT"/>
        </w:rPr>
        <w:t>a</w:t>
      </w:r>
      <w:r w:rsidRPr="00582C68">
        <w:rPr>
          <w:b/>
          <w:bCs/>
          <w:lang w:val="it-IT"/>
        </w:rPr>
        <w:t xml:space="preserve"> opportunità value,</w:t>
      </w:r>
      <w:r w:rsidRPr="00114D01">
        <w:rPr>
          <w:lang w:val="it-IT"/>
        </w:rPr>
        <w:t xml:space="preserve"> sia per motivi di diversificazione che per la possibilità di accedere a società </w:t>
      </w:r>
      <w:r w:rsidR="00582C68">
        <w:rPr>
          <w:lang w:val="it-IT"/>
        </w:rPr>
        <w:t xml:space="preserve">con valutazioni </w:t>
      </w:r>
      <w:r w:rsidRPr="00114D01">
        <w:rPr>
          <w:lang w:val="it-IT"/>
        </w:rPr>
        <w:t>attraent</w:t>
      </w:r>
      <w:r w:rsidR="00582C68">
        <w:rPr>
          <w:lang w:val="it-IT"/>
        </w:rPr>
        <w:t>i</w:t>
      </w:r>
      <w:r w:rsidRPr="00114D01">
        <w:rPr>
          <w:lang w:val="it-IT"/>
        </w:rPr>
        <w:t xml:space="preserve"> che stanno ancora registrando forti utili. Sebbene le pressioni sui prezzi siano diminuite drasticamente nell'ultimo anno, </w:t>
      </w:r>
      <w:r w:rsidRPr="00EE5D82">
        <w:rPr>
          <w:b/>
          <w:bCs/>
          <w:lang w:val="it-IT"/>
        </w:rPr>
        <w:t>l'attuale contesto macro di inflazione “</w:t>
      </w:r>
      <w:r w:rsidR="00EE618E">
        <w:rPr>
          <w:b/>
          <w:bCs/>
          <w:lang w:val="it-IT"/>
        </w:rPr>
        <w:t>vischiosa</w:t>
      </w:r>
      <w:r w:rsidRPr="00EE5D82">
        <w:rPr>
          <w:b/>
          <w:bCs/>
          <w:lang w:val="it-IT"/>
        </w:rPr>
        <w:t xml:space="preserve">” e di tassi d'interesse “più alti più a lungo” offre una spinta favorevole ai titoli azionari </w:t>
      </w:r>
      <w:r w:rsidR="00E97B8D" w:rsidRPr="00EE5D82">
        <w:rPr>
          <w:b/>
          <w:bCs/>
          <w:lang w:val="it-IT"/>
        </w:rPr>
        <w:t>“value-</w:t>
      </w:r>
      <w:r w:rsidRPr="00EE5D82">
        <w:rPr>
          <w:b/>
          <w:bCs/>
          <w:lang w:val="it-IT"/>
        </w:rPr>
        <w:t>orient</w:t>
      </w:r>
      <w:r w:rsidR="00E97B8D" w:rsidRPr="00EE5D82">
        <w:rPr>
          <w:b/>
          <w:bCs/>
          <w:lang w:val="it-IT"/>
        </w:rPr>
        <w:t>ed”</w:t>
      </w:r>
      <w:r w:rsidR="00EE618E">
        <w:rPr>
          <w:b/>
          <w:bCs/>
          <w:lang w:val="it-IT"/>
        </w:rPr>
        <w:t>,</w:t>
      </w:r>
      <w:r w:rsidRPr="00EE5D82">
        <w:rPr>
          <w:b/>
          <w:bCs/>
          <w:lang w:val="it-IT"/>
        </w:rPr>
        <w:t xml:space="preserve"> in settori come le materie prime, i materiali industriali, l'energia e i titoli finanziari.</w:t>
      </w:r>
    </w:p>
    <w:p w14:paraId="08EAB735" w14:textId="6A8CC43B" w:rsidR="00114D01" w:rsidRPr="00114D01" w:rsidRDefault="00114D01" w:rsidP="00E131C4">
      <w:pPr>
        <w:rPr>
          <w:lang w:val="it-IT"/>
        </w:rPr>
      </w:pPr>
      <w:r w:rsidRPr="00114D01">
        <w:rPr>
          <w:lang w:val="it-IT"/>
        </w:rPr>
        <w:t xml:space="preserve">Anche se il tema </w:t>
      </w:r>
      <w:r w:rsidR="00EE5D82">
        <w:rPr>
          <w:lang w:val="it-IT"/>
        </w:rPr>
        <w:t xml:space="preserve">dell’IA </w:t>
      </w:r>
      <w:r w:rsidRPr="00114D01">
        <w:rPr>
          <w:lang w:val="it-IT"/>
        </w:rPr>
        <w:t xml:space="preserve">è stato al centro dell'attenzione degli investitori negli ultimi due anni, siamo stati </w:t>
      </w:r>
      <w:r w:rsidRPr="00EE5D82">
        <w:rPr>
          <w:b/>
          <w:bCs/>
          <w:lang w:val="it-IT"/>
        </w:rPr>
        <w:t>sostenuti anche dall'innovazione nel settore sanitario, in particolare dallo sviluppo di trattamenti GLP-1 per l'obesità</w:t>
      </w:r>
      <w:r w:rsidRPr="00114D01">
        <w:rPr>
          <w:lang w:val="it-IT"/>
        </w:rPr>
        <w:t>. Negli Stati Uniti ci sono 100 milioni di persone obese, ma solo un milione è in trattamento. Oltre a combattere l'obesità, i farmaci potrebbero essere utilizzati anche per trattare e prevenire altre malattie, da quelle cardiache all'Alzheimer. Si tratta di un mercato in grado di crescere fino a 200 miliardi di dollari, e siamo solo all'inizio di un lungo percorso di crescita.</w:t>
      </w:r>
    </w:p>
    <w:p w14:paraId="21CF535C" w14:textId="22ACC300" w:rsidR="00085715" w:rsidRPr="00085715" w:rsidRDefault="00085715" w:rsidP="00085715">
      <w:pPr>
        <w:rPr>
          <w:b/>
          <w:bCs/>
          <w:lang w:val="it-IT"/>
        </w:rPr>
      </w:pPr>
      <w:r w:rsidRPr="00EC26AA">
        <w:rPr>
          <w:u w:val="single"/>
          <w:lang w:val="it-IT"/>
        </w:rPr>
        <w:t>Sempre più fiduciosi sull'Europa</w:t>
      </w:r>
      <w:r>
        <w:rPr>
          <w:b/>
          <w:bCs/>
          <w:lang w:val="it-IT"/>
        </w:rPr>
        <w:br/>
      </w:r>
      <w:r w:rsidRPr="00085715">
        <w:rPr>
          <w:lang w:val="it-IT"/>
        </w:rPr>
        <w:t>Pur avendo mantenuto per qualche tempo una posizione sottopesata</w:t>
      </w:r>
      <w:r w:rsidR="007B2CF9">
        <w:rPr>
          <w:lang w:val="it-IT"/>
        </w:rPr>
        <w:t>,</w:t>
      </w:r>
      <w:r w:rsidRPr="00EE5D82">
        <w:rPr>
          <w:b/>
          <w:bCs/>
          <w:lang w:val="it-IT"/>
        </w:rPr>
        <w:t xml:space="preserve"> siamo sempre più costruttivi</w:t>
      </w:r>
      <w:r w:rsidR="007B2CF9">
        <w:rPr>
          <w:b/>
          <w:bCs/>
          <w:lang w:val="it-IT"/>
        </w:rPr>
        <w:t xml:space="preserve"> </w:t>
      </w:r>
      <w:r w:rsidR="007B2CF9" w:rsidRPr="00EE5D82">
        <w:rPr>
          <w:b/>
          <w:bCs/>
          <w:lang w:val="it-IT"/>
        </w:rPr>
        <w:t>sulle azioni europee</w:t>
      </w:r>
      <w:r w:rsidRPr="00EE5D82">
        <w:rPr>
          <w:b/>
          <w:bCs/>
          <w:lang w:val="it-IT"/>
        </w:rPr>
        <w:t xml:space="preserve">. La crescita economica sta </w:t>
      </w:r>
      <w:r w:rsidR="00EE618E">
        <w:rPr>
          <w:b/>
          <w:bCs/>
          <w:lang w:val="it-IT"/>
        </w:rPr>
        <w:t>dando</w:t>
      </w:r>
      <w:r w:rsidR="00EE618E" w:rsidRPr="00EE5D82">
        <w:rPr>
          <w:b/>
          <w:bCs/>
          <w:lang w:val="it-IT"/>
        </w:rPr>
        <w:t xml:space="preserve"> </w:t>
      </w:r>
      <w:r w:rsidRPr="00EE5D82">
        <w:rPr>
          <w:b/>
          <w:bCs/>
          <w:lang w:val="it-IT"/>
        </w:rPr>
        <w:t>segni di vita dopo diversi anni in cui ha vacillato vicino a livelli di recessione</w:t>
      </w:r>
      <w:r w:rsidRPr="00085715">
        <w:rPr>
          <w:lang w:val="it-IT"/>
        </w:rPr>
        <w:t>, con un P</w:t>
      </w:r>
      <w:r w:rsidR="00EE618E">
        <w:rPr>
          <w:lang w:val="it-IT"/>
        </w:rPr>
        <w:t>il</w:t>
      </w:r>
      <w:r w:rsidRPr="00085715">
        <w:rPr>
          <w:lang w:val="it-IT"/>
        </w:rPr>
        <w:t xml:space="preserve"> del </w:t>
      </w:r>
      <w:r w:rsidR="00E97B8D">
        <w:rPr>
          <w:lang w:val="it-IT"/>
        </w:rPr>
        <w:t>primo</w:t>
      </w:r>
      <w:r w:rsidRPr="00085715">
        <w:rPr>
          <w:lang w:val="it-IT"/>
        </w:rPr>
        <w:t xml:space="preserve"> trimestre migliore del previsto, in gran parte guidato da una ripresa dei servizi. Negli ultimi anni, la debolezza della domanda estera, soprattutto da parte della Cina, i timori per la carenza di gas naturale e l'inflazione storicamente elevata hanno pesato sul sentiment europeo.</w:t>
      </w:r>
    </w:p>
    <w:p w14:paraId="14442464" w14:textId="5D9178B9" w:rsidR="00E131C4" w:rsidRPr="007B2CF9" w:rsidRDefault="00085715" w:rsidP="00E131C4">
      <w:pPr>
        <w:rPr>
          <w:color w:val="FF0000"/>
          <w:lang w:val="it-IT"/>
        </w:rPr>
      </w:pPr>
      <w:r w:rsidRPr="00085715">
        <w:rPr>
          <w:lang w:val="it-IT"/>
        </w:rPr>
        <w:t xml:space="preserve">Tuttavia, </w:t>
      </w:r>
      <w:r w:rsidRPr="00EE5D82">
        <w:rPr>
          <w:b/>
          <w:bCs/>
          <w:lang w:val="it-IT"/>
        </w:rPr>
        <w:t>sembra che la situazione stia cambiando grazie a un inverno più mite del previsto e a un calo dell'inflazion</w:t>
      </w:r>
      <w:r w:rsidR="00EE5D82" w:rsidRPr="00EE5D82">
        <w:rPr>
          <w:b/>
          <w:bCs/>
          <w:lang w:val="it-IT"/>
        </w:rPr>
        <w:t>e</w:t>
      </w:r>
      <w:r w:rsidRPr="00EE5D82">
        <w:rPr>
          <w:b/>
          <w:bCs/>
          <w:lang w:val="it-IT"/>
        </w:rPr>
        <w:t>. Questo ha dato il via a una ripresa dei consumi e ha dato una spinta ai settori del turismo e dell'</w:t>
      </w:r>
      <w:r w:rsidR="00EE5D82">
        <w:rPr>
          <w:b/>
          <w:bCs/>
          <w:lang w:val="it-IT"/>
        </w:rPr>
        <w:t>hospitality</w:t>
      </w:r>
      <w:r w:rsidRPr="00EE5D82">
        <w:rPr>
          <w:b/>
          <w:bCs/>
          <w:lang w:val="it-IT"/>
        </w:rPr>
        <w:t xml:space="preserve"> in Europa</w:t>
      </w:r>
      <w:r w:rsidRPr="00085715">
        <w:rPr>
          <w:lang w:val="it-IT"/>
        </w:rPr>
        <w:t xml:space="preserve">, in particolare in Spagna, Portogallo e Grecia. Ma la Germania, </w:t>
      </w:r>
      <w:r w:rsidRPr="00085715">
        <w:rPr>
          <w:lang w:val="it-IT"/>
        </w:rPr>
        <w:lastRenderedPageBreak/>
        <w:t>potenza manifatturiera dell'Europa, continua a</w:t>
      </w:r>
      <w:r w:rsidR="00EE618E">
        <w:rPr>
          <w:lang w:val="it-IT"/>
        </w:rPr>
        <w:t>d essere sotto pressione</w:t>
      </w:r>
      <w:r w:rsidRPr="00085715">
        <w:rPr>
          <w:lang w:val="it-IT"/>
        </w:rPr>
        <w:t>, data la sua dipendenza dalle esportazioni verso la Cina e le conseguenze della dipendenza dall'energia russa.</w:t>
      </w:r>
    </w:p>
    <w:p w14:paraId="44240E07" w14:textId="01D5D191" w:rsidR="00085715" w:rsidRPr="00085715" w:rsidRDefault="00085715" w:rsidP="00E131C4">
      <w:pPr>
        <w:rPr>
          <w:lang w:val="it-IT"/>
        </w:rPr>
      </w:pPr>
      <w:r w:rsidRPr="00085715">
        <w:rPr>
          <w:lang w:val="it-IT"/>
        </w:rPr>
        <w:t xml:space="preserve">A livello azionario, se l'Europa non può vantare titani tecnologici in grado di competere con i “Magnifici Sette”, </w:t>
      </w:r>
      <w:r w:rsidRPr="00EE5D82">
        <w:rPr>
          <w:b/>
          <w:bCs/>
          <w:lang w:val="it-IT"/>
        </w:rPr>
        <w:t>la performance del gruppo di mega-cap “Granolas” - composto da GSK, Roche, ASML, Nestlé, Novartis, Novo Nordisk, L'Oréal, LVMH, AstraZeneca, SAP e Sanofi - è stata altrettanto stellare negli ultimi tre anni, ma con minore volatilità</w:t>
      </w:r>
      <w:r w:rsidRPr="00085715">
        <w:rPr>
          <w:lang w:val="it-IT"/>
        </w:rPr>
        <w:t xml:space="preserve">. Più in generale, il sentiment positivo sulla scia di una crescita migliore del previsto, di un'inflazione più bassa e </w:t>
      </w:r>
      <w:r w:rsidR="00EE618E">
        <w:rPr>
          <w:lang w:val="it-IT"/>
        </w:rPr>
        <w:t xml:space="preserve">delle </w:t>
      </w:r>
      <w:r w:rsidR="00EE618E" w:rsidRPr="00EE618E">
        <w:rPr>
          <w:lang w:val="it-IT"/>
        </w:rPr>
        <w:t xml:space="preserve">speranze </w:t>
      </w:r>
      <w:r w:rsidR="00EE618E">
        <w:rPr>
          <w:lang w:val="it-IT"/>
        </w:rPr>
        <w:t>sulla continuazione del ciclo di</w:t>
      </w:r>
      <w:r w:rsidR="00EE618E" w:rsidRPr="00EE618E">
        <w:rPr>
          <w:lang w:val="it-IT"/>
        </w:rPr>
        <w:t xml:space="preserve"> tagli dei tassi </w:t>
      </w:r>
      <w:r w:rsidR="00EE618E">
        <w:rPr>
          <w:lang w:val="it-IT"/>
        </w:rPr>
        <w:t>nel</w:t>
      </w:r>
      <w:r w:rsidR="00EE618E" w:rsidRPr="00EE618E">
        <w:rPr>
          <w:lang w:val="it-IT"/>
        </w:rPr>
        <w:t xml:space="preserve"> breve termine </w:t>
      </w:r>
      <w:r w:rsidRPr="00085715">
        <w:rPr>
          <w:lang w:val="it-IT"/>
        </w:rPr>
        <w:t xml:space="preserve">può attirare l'attenzione degli investitori. Tuttavia, resta da chiedersi se questi </w:t>
      </w:r>
      <w:r w:rsidR="00EE618E">
        <w:rPr>
          <w:lang w:val="it-IT"/>
        </w:rPr>
        <w:t>segnali positivi</w:t>
      </w:r>
      <w:r w:rsidRPr="00085715">
        <w:rPr>
          <w:lang w:val="it-IT"/>
        </w:rPr>
        <w:t xml:space="preserve"> porteranno a una ripresa più ampia e sostenibile.</w:t>
      </w:r>
    </w:p>
    <w:p w14:paraId="6F920EDC" w14:textId="0ACAD49C" w:rsidR="00085715" w:rsidRPr="00085715" w:rsidRDefault="00EE5D82" w:rsidP="00085715">
      <w:pPr>
        <w:rPr>
          <w:lang w:val="it-IT"/>
        </w:rPr>
      </w:pPr>
      <w:r w:rsidRPr="00EC26AA">
        <w:rPr>
          <w:u w:val="single"/>
          <w:lang w:val="it-IT"/>
        </w:rPr>
        <w:t>R</w:t>
      </w:r>
      <w:r w:rsidR="00085715" w:rsidRPr="00EC26AA">
        <w:rPr>
          <w:u w:val="single"/>
          <w:lang w:val="it-IT"/>
        </w:rPr>
        <w:t>eddito fisso</w:t>
      </w:r>
      <w:r w:rsidRPr="00EC26AA">
        <w:rPr>
          <w:u w:val="single"/>
          <w:lang w:val="it-IT"/>
        </w:rPr>
        <w:t>: high yield europeo e mercati emergenti</w:t>
      </w:r>
      <w:r w:rsidR="00085715" w:rsidRPr="00EC26AA">
        <w:rPr>
          <w:u w:val="single"/>
          <w:lang w:val="it-IT"/>
        </w:rPr>
        <w:br/>
      </w:r>
      <w:r w:rsidR="00085715" w:rsidRPr="00085715">
        <w:rPr>
          <w:lang w:val="it-IT"/>
        </w:rPr>
        <w:t xml:space="preserve">Per quanto riguarda il reddito fisso, i titoli di Stato dei mercati sviluppati e il credito investment grade hanno faticato quest'anno e potrebbero subire ulteriori pressioni. All'interno dei mercati sviluppati, </w:t>
      </w:r>
      <w:r w:rsidR="00085715" w:rsidRPr="00EE5D82">
        <w:rPr>
          <w:b/>
          <w:bCs/>
          <w:lang w:val="it-IT"/>
        </w:rPr>
        <w:t>la nostra preferenza rimane per il credito high yield, in particolare in Europa.</w:t>
      </w:r>
      <w:r w:rsidR="00085715" w:rsidRPr="00085715">
        <w:rPr>
          <w:lang w:val="it-IT"/>
        </w:rPr>
        <w:t xml:space="preserve"> Rispetto agli Stati Uniti, le valutazioni europee sono più interessanti, mentre la regione presenta una duration più breve e offre alcuni dei rendimenti più interessanti degli ultimi decenni.</w:t>
      </w:r>
    </w:p>
    <w:p w14:paraId="5150FA58" w14:textId="5A879810" w:rsidR="00085715" w:rsidRPr="00085715" w:rsidRDefault="00085715" w:rsidP="00085715">
      <w:pPr>
        <w:rPr>
          <w:lang w:val="it-IT"/>
        </w:rPr>
      </w:pPr>
      <w:r w:rsidRPr="00085715">
        <w:rPr>
          <w:lang w:val="it-IT"/>
        </w:rPr>
        <w:t>Altrove, molti investitori sono giunti alla conclusione di avere una sotto-allocazione nei mercati emergenti ne</w:t>
      </w:r>
      <w:r w:rsidR="00EE618E">
        <w:rPr>
          <w:lang w:val="it-IT"/>
        </w:rPr>
        <w:t>i</w:t>
      </w:r>
      <w:r w:rsidRPr="00085715">
        <w:rPr>
          <w:lang w:val="it-IT"/>
        </w:rPr>
        <w:t xml:space="preserve"> loro portafogli </w:t>
      </w:r>
      <w:r w:rsidR="00EE618E">
        <w:rPr>
          <w:lang w:val="it-IT"/>
        </w:rPr>
        <w:t>obbligazionari</w:t>
      </w:r>
      <w:r w:rsidRPr="00085715">
        <w:rPr>
          <w:lang w:val="it-IT"/>
        </w:rPr>
        <w:t>. Questo è, in parte, una risposta ai solidi rendimenti del debito dei mercati emergenti nel 2023.</w:t>
      </w:r>
    </w:p>
    <w:p w14:paraId="299EF86B" w14:textId="1EE17A34" w:rsidR="00D31498" w:rsidRPr="00085715" w:rsidRDefault="00085715" w:rsidP="00085715">
      <w:pPr>
        <w:rPr>
          <w:lang w:val="it-IT"/>
        </w:rPr>
      </w:pPr>
      <w:r w:rsidRPr="00085715">
        <w:rPr>
          <w:lang w:val="it-IT"/>
        </w:rPr>
        <w:t xml:space="preserve">Nonostante il continuo scetticismo nei confronti della Cina, </w:t>
      </w:r>
      <w:r w:rsidRPr="00EE5D82">
        <w:rPr>
          <w:b/>
          <w:bCs/>
          <w:lang w:val="it-IT"/>
        </w:rPr>
        <w:t xml:space="preserve">la forza fondamentale di ciascun settore obbligazionario dei mercati emergenti </w:t>
      </w:r>
      <w:r w:rsidR="00EE5D82" w:rsidRPr="00EE5D82">
        <w:rPr>
          <w:b/>
          <w:bCs/>
          <w:lang w:val="it-IT"/>
        </w:rPr>
        <w:t>–</w:t>
      </w:r>
      <w:r w:rsidRPr="00EE5D82">
        <w:rPr>
          <w:b/>
          <w:bCs/>
          <w:lang w:val="it-IT"/>
        </w:rPr>
        <w:t xml:space="preserve"> </w:t>
      </w:r>
      <w:r w:rsidR="00EE618E">
        <w:rPr>
          <w:b/>
          <w:bCs/>
          <w:lang w:val="it-IT"/>
        </w:rPr>
        <w:t xml:space="preserve">titoli </w:t>
      </w:r>
      <w:r w:rsidRPr="00EE5D82">
        <w:rPr>
          <w:b/>
          <w:bCs/>
          <w:lang w:val="it-IT"/>
        </w:rPr>
        <w:t xml:space="preserve">sovrani in valuta forte e locale e obbligazioni societarie </w:t>
      </w:r>
      <w:r w:rsidR="00EE5D82" w:rsidRPr="00EE5D82">
        <w:rPr>
          <w:b/>
          <w:bCs/>
          <w:lang w:val="it-IT"/>
        </w:rPr>
        <w:t>–</w:t>
      </w:r>
      <w:r w:rsidRPr="00EE5D82">
        <w:rPr>
          <w:b/>
          <w:bCs/>
          <w:lang w:val="it-IT"/>
        </w:rPr>
        <w:t xml:space="preserve"> e le loro interessanti caratteristiche di diversificazione del portafoglio sono sufficienti a giustificare un'allocazione strutturale </w:t>
      </w:r>
      <w:r w:rsidR="00EE618E">
        <w:rPr>
          <w:b/>
          <w:bCs/>
          <w:lang w:val="it-IT"/>
        </w:rPr>
        <w:t>sui</w:t>
      </w:r>
      <w:r w:rsidR="00EE618E" w:rsidRPr="00EE5D82">
        <w:rPr>
          <w:b/>
          <w:bCs/>
          <w:lang w:val="it-IT"/>
        </w:rPr>
        <w:t xml:space="preserve"> </w:t>
      </w:r>
      <w:r w:rsidRPr="00EE5D82">
        <w:rPr>
          <w:b/>
          <w:bCs/>
          <w:lang w:val="it-IT"/>
        </w:rPr>
        <w:t>mercati emergenti</w:t>
      </w:r>
      <w:r w:rsidRPr="00085715">
        <w:rPr>
          <w:lang w:val="it-IT"/>
        </w:rPr>
        <w:t xml:space="preserve">.  </w:t>
      </w:r>
    </w:p>
    <w:sectPr w:rsidR="00D31498" w:rsidRPr="0008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7DC89" w14:textId="77777777" w:rsidR="005050DF" w:rsidRDefault="005050DF" w:rsidP="00417420">
      <w:pPr>
        <w:spacing w:after="0" w:line="240" w:lineRule="auto"/>
      </w:pPr>
      <w:r>
        <w:separator/>
      </w:r>
    </w:p>
  </w:endnote>
  <w:endnote w:type="continuationSeparator" w:id="0">
    <w:p w14:paraId="737A7A16" w14:textId="77777777" w:rsidR="005050DF" w:rsidRDefault="005050DF" w:rsidP="00417420">
      <w:pPr>
        <w:spacing w:after="0" w:line="240" w:lineRule="auto"/>
      </w:pPr>
      <w:r>
        <w:continuationSeparator/>
      </w:r>
    </w:p>
  </w:endnote>
  <w:endnote w:type="continuationNotice" w:id="1">
    <w:p w14:paraId="47D43FA7" w14:textId="77777777" w:rsidR="007D16A9" w:rsidRDefault="007D1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4D1B8" w14:textId="77777777" w:rsidR="005050DF" w:rsidRDefault="005050DF" w:rsidP="00417420">
      <w:pPr>
        <w:spacing w:after="0" w:line="240" w:lineRule="auto"/>
      </w:pPr>
      <w:r>
        <w:separator/>
      </w:r>
    </w:p>
  </w:footnote>
  <w:footnote w:type="continuationSeparator" w:id="0">
    <w:p w14:paraId="284C1AD1" w14:textId="77777777" w:rsidR="005050DF" w:rsidRDefault="005050DF" w:rsidP="00417420">
      <w:pPr>
        <w:spacing w:after="0" w:line="240" w:lineRule="auto"/>
      </w:pPr>
      <w:r>
        <w:continuationSeparator/>
      </w:r>
    </w:p>
  </w:footnote>
  <w:footnote w:type="continuationNotice" w:id="1">
    <w:p w14:paraId="31445876" w14:textId="77777777" w:rsidR="007D16A9" w:rsidRDefault="007D16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D31498"/>
    <w:rsid w:val="00003D94"/>
    <w:rsid w:val="00020D61"/>
    <w:rsid w:val="00031EE2"/>
    <w:rsid w:val="00085715"/>
    <w:rsid w:val="000A7E17"/>
    <w:rsid w:val="000C461B"/>
    <w:rsid w:val="000D2B39"/>
    <w:rsid w:val="000E49D7"/>
    <w:rsid w:val="001108E2"/>
    <w:rsid w:val="00114D01"/>
    <w:rsid w:val="00122659"/>
    <w:rsid w:val="00131A51"/>
    <w:rsid w:val="00167E65"/>
    <w:rsid w:val="00193487"/>
    <w:rsid w:val="00194062"/>
    <w:rsid w:val="001F75A9"/>
    <w:rsid w:val="00202273"/>
    <w:rsid w:val="002430D9"/>
    <w:rsid w:val="00243C49"/>
    <w:rsid w:val="00266D44"/>
    <w:rsid w:val="00280D42"/>
    <w:rsid w:val="002D64AC"/>
    <w:rsid w:val="002E621B"/>
    <w:rsid w:val="00305D80"/>
    <w:rsid w:val="00335FB7"/>
    <w:rsid w:val="0033630E"/>
    <w:rsid w:val="00345C53"/>
    <w:rsid w:val="00351503"/>
    <w:rsid w:val="00375CD0"/>
    <w:rsid w:val="003A3D17"/>
    <w:rsid w:val="003B5CA3"/>
    <w:rsid w:val="003C1E02"/>
    <w:rsid w:val="003E6053"/>
    <w:rsid w:val="00405B24"/>
    <w:rsid w:val="00417420"/>
    <w:rsid w:val="00477C6F"/>
    <w:rsid w:val="00492C17"/>
    <w:rsid w:val="004A23CD"/>
    <w:rsid w:val="004A7881"/>
    <w:rsid w:val="004B61BB"/>
    <w:rsid w:val="004C15A0"/>
    <w:rsid w:val="004E4628"/>
    <w:rsid w:val="004E5C9F"/>
    <w:rsid w:val="004E7AAE"/>
    <w:rsid w:val="005050DF"/>
    <w:rsid w:val="00506C2E"/>
    <w:rsid w:val="00507FB1"/>
    <w:rsid w:val="00537CBD"/>
    <w:rsid w:val="0055047C"/>
    <w:rsid w:val="005513F5"/>
    <w:rsid w:val="0056052F"/>
    <w:rsid w:val="00582C68"/>
    <w:rsid w:val="00587F59"/>
    <w:rsid w:val="005F0BE4"/>
    <w:rsid w:val="005F42B9"/>
    <w:rsid w:val="00611BCF"/>
    <w:rsid w:val="00616CFB"/>
    <w:rsid w:val="00624747"/>
    <w:rsid w:val="00624AFF"/>
    <w:rsid w:val="00635476"/>
    <w:rsid w:val="006876B0"/>
    <w:rsid w:val="006A1130"/>
    <w:rsid w:val="006A3EA5"/>
    <w:rsid w:val="006B3762"/>
    <w:rsid w:val="006B38A0"/>
    <w:rsid w:val="006D7051"/>
    <w:rsid w:val="006E627B"/>
    <w:rsid w:val="006E743E"/>
    <w:rsid w:val="00723F71"/>
    <w:rsid w:val="00775110"/>
    <w:rsid w:val="007816FA"/>
    <w:rsid w:val="007B2CF9"/>
    <w:rsid w:val="007D16A9"/>
    <w:rsid w:val="007E0201"/>
    <w:rsid w:val="007F48BA"/>
    <w:rsid w:val="00804075"/>
    <w:rsid w:val="00837567"/>
    <w:rsid w:val="00855A28"/>
    <w:rsid w:val="00894DC9"/>
    <w:rsid w:val="00912B56"/>
    <w:rsid w:val="00943401"/>
    <w:rsid w:val="00953CEB"/>
    <w:rsid w:val="00975FE5"/>
    <w:rsid w:val="0097626D"/>
    <w:rsid w:val="009C5443"/>
    <w:rsid w:val="009E3958"/>
    <w:rsid w:val="009E39B8"/>
    <w:rsid w:val="00A114FD"/>
    <w:rsid w:val="00A241A2"/>
    <w:rsid w:val="00A72F53"/>
    <w:rsid w:val="00A93AC7"/>
    <w:rsid w:val="00AB6F8B"/>
    <w:rsid w:val="00AF6670"/>
    <w:rsid w:val="00AF725D"/>
    <w:rsid w:val="00B0543B"/>
    <w:rsid w:val="00B121B1"/>
    <w:rsid w:val="00B21D08"/>
    <w:rsid w:val="00B36074"/>
    <w:rsid w:val="00B40839"/>
    <w:rsid w:val="00BA456E"/>
    <w:rsid w:val="00BB0047"/>
    <w:rsid w:val="00BC0BD6"/>
    <w:rsid w:val="00BC50DC"/>
    <w:rsid w:val="00BE28B2"/>
    <w:rsid w:val="00BF6C4E"/>
    <w:rsid w:val="00C5430F"/>
    <w:rsid w:val="00C71E57"/>
    <w:rsid w:val="00C75716"/>
    <w:rsid w:val="00C76D63"/>
    <w:rsid w:val="00C86186"/>
    <w:rsid w:val="00C949CA"/>
    <w:rsid w:val="00CA1FCB"/>
    <w:rsid w:val="00CC632D"/>
    <w:rsid w:val="00D02FAF"/>
    <w:rsid w:val="00D26193"/>
    <w:rsid w:val="00D31498"/>
    <w:rsid w:val="00D352CB"/>
    <w:rsid w:val="00D37638"/>
    <w:rsid w:val="00D54BD3"/>
    <w:rsid w:val="00D54D87"/>
    <w:rsid w:val="00D65501"/>
    <w:rsid w:val="00D67D3A"/>
    <w:rsid w:val="00D74A3D"/>
    <w:rsid w:val="00DA7892"/>
    <w:rsid w:val="00DD552F"/>
    <w:rsid w:val="00DE26AD"/>
    <w:rsid w:val="00E131C4"/>
    <w:rsid w:val="00E14167"/>
    <w:rsid w:val="00E31C3F"/>
    <w:rsid w:val="00E73102"/>
    <w:rsid w:val="00E96893"/>
    <w:rsid w:val="00E97B8D"/>
    <w:rsid w:val="00EA6099"/>
    <w:rsid w:val="00EB1FB6"/>
    <w:rsid w:val="00EC26AA"/>
    <w:rsid w:val="00EC767A"/>
    <w:rsid w:val="00ED428D"/>
    <w:rsid w:val="00EE5D82"/>
    <w:rsid w:val="00EE618E"/>
    <w:rsid w:val="00F05F5D"/>
    <w:rsid w:val="00F13608"/>
    <w:rsid w:val="00F214CB"/>
    <w:rsid w:val="00F23D51"/>
    <w:rsid w:val="00F32BC7"/>
    <w:rsid w:val="00F339FD"/>
    <w:rsid w:val="00F3408A"/>
    <w:rsid w:val="00F67819"/>
    <w:rsid w:val="00F87739"/>
    <w:rsid w:val="00FA3C2E"/>
    <w:rsid w:val="00FA3D9A"/>
    <w:rsid w:val="00FA40B6"/>
    <w:rsid w:val="00FE773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81282"/>
  <w15:chartTrackingRefBased/>
  <w15:docId w15:val="{F4B7B402-1062-4E61-A49A-C65FF4F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36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0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352C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16A9"/>
  </w:style>
  <w:style w:type="paragraph" w:styleId="Pidipagina">
    <w:name w:val="footer"/>
    <w:basedOn w:val="Normale"/>
    <w:link w:val="PidipaginaCarattere"/>
    <w:uiPriority w:val="99"/>
    <w:semiHidden/>
    <w:unhideWhenUsed/>
    <w:rsid w:val="007D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828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Vohora, Ritu</dc:creator>
  <cp:keywords/>
  <dc:description/>
  <cp:lastModifiedBy>Massimo Morici</cp:lastModifiedBy>
  <cp:revision>4</cp:revision>
  <dcterms:created xsi:type="dcterms:W3CDTF">2024-06-18T07:34:00Z</dcterms:created>
  <dcterms:modified xsi:type="dcterms:W3CDTF">2024-06-18T07:38:00Z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59c8fb1098c4348d32454b4e1ac15e32c331f0e35f291668e204bfe3de0b3226</vt:lpwstr>
  </property>
</Properties>
</file>