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AD105" w14:textId="486E8A04" w:rsidR="005D4C4E" w:rsidRPr="00F3289B" w:rsidRDefault="005D4C4E" w:rsidP="003B4801">
      <w:pPr>
        <w:spacing w:after="0" w:line="240" w:lineRule="auto"/>
        <w:contextualSpacing/>
        <w:rPr>
          <w:b/>
          <w:bCs/>
        </w:rPr>
      </w:pPr>
      <w:r w:rsidRPr="00F3289B">
        <w:rPr>
          <w:b/>
          <w:bCs/>
        </w:rPr>
        <w:t>Amchor IS –</w:t>
      </w:r>
      <w:r w:rsidR="003B0245" w:rsidRPr="00F3289B">
        <w:rPr>
          <w:b/>
          <w:bCs/>
        </w:rPr>
        <w:t xml:space="preserve"> Banche centrali, po</w:t>
      </w:r>
      <w:r w:rsidR="003B0245">
        <w:rPr>
          <w:b/>
          <w:bCs/>
        </w:rPr>
        <w:t xml:space="preserve">chi tagli quest’anno e </w:t>
      </w:r>
      <w:r w:rsidR="00F3289B">
        <w:rPr>
          <w:b/>
          <w:bCs/>
        </w:rPr>
        <w:t>il</w:t>
      </w:r>
      <w:r w:rsidR="003B0245">
        <w:rPr>
          <w:b/>
          <w:bCs/>
        </w:rPr>
        <w:t xml:space="preserve"> prossimo</w:t>
      </w:r>
    </w:p>
    <w:p w14:paraId="55E4FB82" w14:textId="77777777" w:rsidR="00303584" w:rsidRPr="00F3289B" w:rsidRDefault="00303584" w:rsidP="003B4801">
      <w:pPr>
        <w:spacing w:after="0" w:line="240" w:lineRule="auto"/>
        <w:contextualSpacing/>
        <w:rPr>
          <w:kern w:val="0"/>
        </w:rPr>
      </w:pPr>
    </w:p>
    <w:p w14:paraId="77319929" w14:textId="43B6C65F" w:rsidR="005D4C4E" w:rsidRPr="00F3289B" w:rsidRDefault="005D4C4E" w:rsidP="003B4801">
      <w:pPr>
        <w:spacing w:after="0" w:line="240" w:lineRule="auto"/>
        <w:contextualSpacing/>
      </w:pPr>
      <w:r w:rsidRPr="00F3289B">
        <w:rPr>
          <w:kern w:val="0"/>
        </w:rPr>
        <w:t xml:space="preserve">A cura di </w:t>
      </w:r>
      <w:r w:rsidRPr="00F3289B">
        <w:rPr>
          <w:b/>
          <w:bCs/>
          <w:kern w:val="0"/>
        </w:rPr>
        <w:t>Álvaro Sanmartín, Chief Economist, Amchor IS</w:t>
      </w:r>
    </w:p>
    <w:p w14:paraId="078C9A72" w14:textId="77777777" w:rsidR="00303584" w:rsidRPr="00F3289B" w:rsidRDefault="00303584" w:rsidP="003B4801">
      <w:pPr>
        <w:spacing w:after="0" w:line="240" w:lineRule="auto"/>
        <w:contextualSpacing/>
      </w:pPr>
    </w:p>
    <w:p w14:paraId="081A9CD2" w14:textId="4D9DC439" w:rsidR="005C2AB3" w:rsidRDefault="00EB6CAA" w:rsidP="003B4801">
      <w:pPr>
        <w:spacing w:after="0" w:line="240" w:lineRule="auto"/>
        <w:ind w:right="128"/>
        <w:contextualSpacing/>
        <w:jc w:val="both"/>
        <w:rPr>
          <w:b/>
          <w:bCs/>
        </w:rPr>
      </w:pPr>
      <w:r w:rsidRPr="00EB6CAA">
        <w:t>Le nostre prospettive macro e di mercato rimangono “cautamente costruttive”. Negli Stati Uniti, il significativo aumento dei tassi a lungo termine dall'inizio dell'anno contribuirà a moderare la crescita della domanda aggregata a tassi più in linea con la crescita potenziale dell'economia</w:t>
      </w:r>
      <w:r w:rsidR="00D928B3">
        <w:t>. P</w:t>
      </w:r>
      <w:r w:rsidRPr="00EB6CAA">
        <w:t xml:space="preserve">er essere precisi, prevediamo tassi di espansione di circa il 2% per l'intero 2024. A sua volta, </w:t>
      </w:r>
      <w:r w:rsidRPr="00D928B3">
        <w:rPr>
          <w:b/>
          <w:bCs/>
        </w:rPr>
        <w:t>un migliore equilibrio tra domanda e offerta, unito al fatto che le aspettative di inflazione rimangono ben ancorate, dovrebbe consentire un progressivo calo dell'inflazione di fondo nei prossimi mesi</w:t>
      </w:r>
      <w:r w:rsidRPr="00EB6CAA">
        <w:t xml:space="preserve">. </w:t>
      </w:r>
    </w:p>
    <w:p w14:paraId="0B64E9A2" w14:textId="77777777" w:rsidR="005C2AB3" w:rsidRDefault="005C2AB3" w:rsidP="003B4801">
      <w:pPr>
        <w:spacing w:after="0" w:line="240" w:lineRule="auto"/>
        <w:ind w:right="128"/>
        <w:contextualSpacing/>
        <w:jc w:val="both"/>
      </w:pPr>
    </w:p>
    <w:p w14:paraId="5D77F972" w14:textId="008AE23D" w:rsidR="005C2AB3" w:rsidRDefault="00EB6CAA" w:rsidP="003B4801">
      <w:pPr>
        <w:spacing w:after="0" w:line="240" w:lineRule="auto"/>
        <w:ind w:right="128"/>
        <w:contextualSpacing/>
        <w:jc w:val="both"/>
      </w:pPr>
      <w:r w:rsidRPr="005C2AB3">
        <w:t xml:space="preserve">Se da un lato </w:t>
      </w:r>
      <w:r w:rsidRPr="00F3289B">
        <w:rPr>
          <w:b/>
          <w:bCs/>
        </w:rPr>
        <w:t xml:space="preserve">ci aspettiamo pochi tagli dei tassi quest'anno </w:t>
      </w:r>
      <w:r w:rsidR="00B5626B" w:rsidRPr="005C2AB3">
        <w:rPr>
          <w:b/>
          <w:bCs/>
        </w:rPr>
        <w:t>e</w:t>
      </w:r>
      <w:r w:rsidR="00B5626B" w:rsidRPr="00F3289B">
        <w:rPr>
          <w:b/>
          <w:bCs/>
        </w:rPr>
        <w:t xml:space="preserve"> </w:t>
      </w:r>
      <w:r w:rsidRPr="00F3289B">
        <w:rPr>
          <w:b/>
          <w:bCs/>
        </w:rPr>
        <w:t>il prossimo</w:t>
      </w:r>
      <w:r w:rsidRPr="005C2AB3">
        <w:t>, dall'altro</w:t>
      </w:r>
      <w:r w:rsidRPr="00F3289B">
        <w:rPr>
          <w:b/>
          <w:bCs/>
        </w:rPr>
        <w:t xml:space="preserve"> riteniamo altamente improbabile che la Fed sia costretta ad aumentare il costo del denaro </w:t>
      </w:r>
      <w:r w:rsidRPr="00D928B3">
        <w:t>nello stesso orizzonte temporale.</w:t>
      </w:r>
      <w:r w:rsidRPr="00EB6CAA">
        <w:t xml:space="preserve"> </w:t>
      </w:r>
      <w:r w:rsidRPr="00F3289B">
        <w:rPr>
          <w:b/>
          <w:bCs/>
        </w:rPr>
        <w:t xml:space="preserve">Per quanto riguarda l'Eurozona, continuiamo a vedere segnali di miglioramento, </w:t>
      </w:r>
      <w:r w:rsidRPr="005C2AB3">
        <w:t>il che rafforza la nostra impressione che il nostro continente</w:t>
      </w:r>
      <w:r w:rsidRPr="00F3289B">
        <w:rPr>
          <w:b/>
          <w:bCs/>
        </w:rPr>
        <w:t xml:space="preserve"> sarà in grado di crescere un po' più dell'1% quest'anno.</w:t>
      </w:r>
      <w:r w:rsidR="005C2AB3">
        <w:t xml:space="preserve"> </w:t>
      </w:r>
      <w:r w:rsidRPr="00EB6CAA">
        <w:t xml:space="preserve">A loro volta, questi tassi di crescita economica potrebbero essere perfettamente compatibili con una tendenza al ribasso dell'inflazione di fondo per il resto dell'anno. </w:t>
      </w:r>
    </w:p>
    <w:p w14:paraId="48143504" w14:textId="77777777" w:rsidR="005C2AB3" w:rsidRDefault="005C2AB3" w:rsidP="003B4801">
      <w:pPr>
        <w:spacing w:after="0" w:line="240" w:lineRule="auto"/>
        <w:ind w:right="128"/>
        <w:contextualSpacing/>
        <w:jc w:val="both"/>
      </w:pPr>
    </w:p>
    <w:p w14:paraId="5530DE72" w14:textId="2BB57500" w:rsidR="00EB6CAA" w:rsidRDefault="00EB6CAA" w:rsidP="00EB6CAA">
      <w:pPr>
        <w:spacing w:after="0" w:line="240" w:lineRule="auto"/>
        <w:ind w:right="128"/>
        <w:contextualSpacing/>
        <w:jc w:val="both"/>
      </w:pPr>
      <w:r w:rsidRPr="00F3289B">
        <w:rPr>
          <w:b/>
          <w:bCs/>
        </w:rPr>
        <w:t>In Cina, le autorità stanno nuovamente aumentando gli stimoli</w:t>
      </w:r>
      <w:r w:rsidRPr="00EB6CAA">
        <w:t>, rendendo ancora più probabile il raggiungimento di tassi di espansione intorno al 5% quest'anno.</w:t>
      </w:r>
      <w:r w:rsidR="005C2AB3">
        <w:t xml:space="preserve"> </w:t>
      </w:r>
      <w:r w:rsidRPr="00EB6CAA">
        <w:t xml:space="preserve">Per il resto, </w:t>
      </w:r>
      <w:r w:rsidRPr="00F3289B">
        <w:rPr>
          <w:b/>
          <w:bCs/>
        </w:rPr>
        <w:t>continuiamo a prevedere una performance economica molto positiva nel resto dell'Asia emergente e un rapido miglioramento dell'attività economica in Giappone</w:t>
      </w:r>
      <w:r w:rsidRPr="00EB6CAA">
        <w:t>.</w:t>
      </w:r>
      <w:r w:rsidR="005C2AB3">
        <w:t xml:space="preserve"> N</w:t>
      </w:r>
      <w:r>
        <w:t xml:space="preserve">egli Stati Uniti, </w:t>
      </w:r>
      <w:r w:rsidRPr="00F3289B">
        <w:rPr>
          <w:b/>
          <w:bCs/>
        </w:rPr>
        <w:t>la curva dei rendimenti si è spostata sensibilmente verso l'alto dall'inizio dell'anno, contribuendo a moderare il ritmo di espansione della domanda aggregata a tassi intorno al 2%</w:t>
      </w:r>
      <w:r>
        <w:t>, in linea con la crescita potenziale dell'economia</w:t>
      </w:r>
      <w:r w:rsidR="00ED1E98">
        <w:t>.</w:t>
      </w:r>
    </w:p>
    <w:p w14:paraId="4ED2A1D7" w14:textId="77777777" w:rsidR="00EB6CAA" w:rsidRDefault="00EB6CAA" w:rsidP="00EB6CAA">
      <w:pPr>
        <w:spacing w:after="0" w:line="240" w:lineRule="auto"/>
        <w:ind w:right="128"/>
        <w:contextualSpacing/>
        <w:jc w:val="both"/>
      </w:pPr>
    </w:p>
    <w:p w14:paraId="3CEEF9B8" w14:textId="074EFD9B" w:rsidR="00EB6CAA" w:rsidRDefault="00EB6CAA" w:rsidP="00EB6CAA">
      <w:pPr>
        <w:spacing w:after="0" w:line="240" w:lineRule="auto"/>
        <w:ind w:right="128"/>
        <w:contextualSpacing/>
        <w:jc w:val="both"/>
      </w:pPr>
      <w:r>
        <w:t xml:space="preserve">Allo stesso tempo, riteniamo che il rischio di un preoccupante rallentamento dell'economia </w:t>
      </w:r>
      <w:r w:rsidR="00266606">
        <w:t xml:space="preserve">USA </w:t>
      </w:r>
      <w:r>
        <w:t>rimanga basso nel breve termine</w:t>
      </w:r>
      <w:r w:rsidR="00ED1E98">
        <w:t>.</w:t>
      </w:r>
      <w:r>
        <w:t xml:space="preserve"> </w:t>
      </w:r>
      <w:r w:rsidR="00ED1E98">
        <w:t>I</w:t>
      </w:r>
      <w:r>
        <w:t xml:space="preserve"> consumi privati dovrebbero continuare a essere sostenuti da salari che crescono al di sopra dell'inflazione, da un tasso di disoccupazione molto basso e dalla forte posizione di bilancio </w:t>
      </w:r>
      <w:r w:rsidR="005C2AB3">
        <w:t xml:space="preserve">del </w:t>
      </w:r>
      <w:r>
        <w:t>consumatore medio statunitense</w:t>
      </w:r>
      <w:r w:rsidR="00ED1E98">
        <w:t xml:space="preserve">. </w:t>
      </w:r>
      <w:r w:rsidRPr="00F3289B">
        <w:rPr>
          <w:b/>
          <w:bCs/>
        </w:rPr>
        <w:t>Il miglioramento dell'equilibrio tra domanda e offerta nel mercato del lavoro, insieme alle aspettative di inflazione che rimangono ben ancorate, crea le condizioni giuste per un'ulteriore moderazione della crescita salariale nei prossimi trimestri</w:t>
      </w:r>
      <w:r w:rsidR="00ED1E98">
        <w:t>.</w:t>
      </w:r>
    </w:p>
    <w:p w14:paraId="73EF029C" w14:textId="77777777" w:rsidR="00EB6CAA" w:rsidRPr="00EB6CAA" w:rsidRDefault="00EB6CAA" w:rsidP="00EB6CAA">
      <w:pPr>
        <w:spacing w:after="0" w:line="240" w:lineRule="auto"/>
        <w:ind w:right="128"/>
        <w:contextualSpacing/>
        <w:jc w:val="both"/>
      </w:pPr>
    </w:p>
    <w:p w14:paraId="3B6AEC96" w14:textId="2A5B03E1" w:rsidR="00EB6CAA" w:rsidRDefault="00EB6CAA" w:rsidP="00F3289B">
      <w:pPr>
        <w:spacing w:after="0" w:line="240" w:lineRule="auto"/>
        <w:ind w:right="128"/>
        <w:contextualSpacing/>
        <w:jc w:val="both"/>
      </w:pPr>
      <w:r w:rsidRPr="00F3289B">
        <w:rPr>
          <w:b/>
        </w:rPr>
        <w:t>Nell'Eurozona,</w:t>
      </w:r>
      <w:r w:rsidRPr="00EB6CAA">
        <w:rPr>
          <w:bCs/>
        </w:rPr>
        <w:t xml:space="preserve"> </w:t>
      </w:r>
      <w:r w:rsidRPr="00F3289B">
        <w:rPr>
          <w:b/>
        </w:rPr>
        <w:t>i dati macro continuano a indicare chiaramente una direzione positiva, anche in Germania</w:t>
      </w:r>
      <w:r w:rsidRPr="00EB6CAA">
        <w:rPr>
          <w:bCs/>
        </w:rPr>
        <w:t xml:space="preserve">. </w:t>
      </w:r>
      <w:r w:rsidR="00ED1E98">
        <w:rPr>
          <w:bCs/>
        </w:rPr>
        <w:t>I</w:t>
      </w:r>
      <w:r w:rsidRPr="00EB6CAA">
        <w:rPr>
          <w:bCs/>
        </w:rPr>
        <w:t xml:space="preserve"> fondamentali dei consumi privati rimangono molto solidi</w:t>
      </w:r>
      <w:r w:rsidR="005C2AB3">
        <w:rPr>
          <w:bCs/>
        </w:rPr>
        <w:t xml:space="preserve">. </w:t>
      </w:r>
      <w:r w:rsidR="00ED1E98">
        <w:rPr>
          <w:bCs/>
        </w:rPr>
        <w:t>L</w:t>
      </w:r>
      <w:r w:rsidR="00ED1E98" w:rsidRPr="00EB6CAA">
        <w:rPr>
          <w:bCs/>
        </w:rPr>
        <w:t xml:space="preserve">a </w:t>
      </w:r>
      <w:r w:rsidRPr="00EB6CAA">
        <w:rPr>
          <w:bCs/>
        </w:rPr>
        <w:t xml:space="preserve">prevista fine dell'aggiustamento al ribasso delle scorte aiuterà il settore industriale nel corso dell'anno; la politica fiscale non diventerà </w:t>
      </w:r>
      <w:r w:rsidR="005C2AB3">
        <w:rPr>
          <w:bCs/>
        </w:rPr>
        <w:t>restritti</w:t>
      </w:r>
      <w:r w:rsidRPr="00EB6CAA">
        <w:rPr>
          <w:bCs/>
        </w:rPr>
        <w:t>va quest'anno; i tassi reali a lungo termine rimangono piuttosto bassi nonostante il recente aumento.</w:t>
      </w:r>
      <w:r w:rsidR="005C2AB3">
        <w:rPr>
          <w:b/>
        </w:rPr>
        <w:t xml:space="preserve"> L</w:t>
      </w:r>
      <w:r w:rsidRPr="00F3289B">
        <w:rPr>
          <w:b/>
        </w:rPr>
        <w:t>'inflazione di fondo dovrebbe continuare a moderarsi nel nostro continente.</w:t>
      </w:r>
      <w:r w:rsidR="005C2AB3">
        <w:t xml:space="preserve"> </w:t>
      </w:r>
      <w:r w:rsidR="00ED1E98">
        <w:t>L</w:t>
      </w:r>
      <w:r w:rsidRPr="00EB6CAA">
        <w:t>a ripresa economica che ci aspettiamo per il nostro continente nei prossimi trimestri limiterà il numero di tagli dei tassi che potrebbero verificarsi quest'anno e il prossimo.</w:t>
      </w:r>
    </w:p>
    <w:p w14:paraId="71093753" w14:textId="77777777" w:rsidR="00EB6CAA" w:rsidRPr="00EB6CAA" w:rsidRDefault="00EB6CAA" w:rsidP="003B4801">
      <w:pPr>
        <w:spacing w:after="0" w:line="240" w:lineRule="auto"/>
        <w:ind w:right="38"/>
        <w:contextualSpacing/>
        <w:jc w:val="both"/>
      </w:pPr>
    </w:p>
    <w:p w14:paraId="26A13B8B" w14:textId="1BA80266" w:rsidR="00EB6CAA" w:rsidRDefault="00EB6CAA" w:rsidP="00EB6CAA">
      <w:pPr>
        <w:spacing w:after="0" w:line="240" w:lineRule="auto"/>
        <w:contextualSpacing/>
      </w:pPr>
      <w:r w:rsidRPr="00F3289B">
        <w:rPr>
          <w:b/>
          <w:bCs/>
        </w:rPr>
        <w:t>Rimaniamo ragionevolmente costruttivi sulla Cina macro</w:t>
      </w:r>
      <w:r w:rsidRPr="00713F67">
        <w:t>, ma siamo un po' cauti per la crescente vicinanza delle elezioni statunitensi</w:t>
      </w:r>
      <w:r>
        <w:t xml:space="preserve"> e per ciò che questo può significare per il rumore geopolitico nei prossimi mesi</w:t>
      </w:r>
      <w:r w:rsidR="00713F67">
        <w:t xml:space="preserve">. </w:t>
      </w:r>
      <w:r w:rsidR="00713F67" w:rsidRPr="00F3289B">
        <w:rPr>
          <w:b/>
          <w:bCs/>
        </w:rPr>
        <w:t xml:space="preserve">L'unica </w:t>
      </w:r>
      <w:r w:rsidRPr="00F3289B">
        <w:rPr>
          <w:b/>
          <w:bCs/>
        </w:rPr>
        <w:t xml:space="preserve">cosa su cui repubblicani e democratici sembrano essere d'accordo è </w:t>
      </w:r>
      <w:r w:rsidR="00713F67" w:rsidRPr="00F3289B">
        <w:rPr>
          <w:b/>
          <w:bCs/>
        </w:rPr>
        <w:t>credere</w:t>
      </w:r>
      <w:r w:rsidRPr="00F3289B">
        <w:rPr>
          <w:b/>
          <w:bCs/>
        </w:rPr>
        <w:t xml:space="preserve"> che sia elettoralmente favorevole per loro “punire” la Cina con misure protezionistiche.</w:t>
      </w:r>
      <w:r>
        <w:t xml:space="preserve"> Continuiamo ad apprezzare il buon mix di crescita e stabilità macro in molti Paesi asiatici emergenti</w:t>
      </w:r>
      <w:r w:rsidR="00713F67">
        <w:t>.</w:t>
      </w:r>
    </w:p>
    <w:p w14:paraId="6C3EABF6" w14:textId="77777777" w:rsidR="00EB6CAA" w:rsidRPr="00EB6CAA" w:rsidRDefault="00EB6CAA" w:rsidP="00EB6CAA">
      <w:pPr>
        <w:spacing w:after="0" w:line="240" w:lineRule="auto"/>
        <w:contextualSpacing/>
      </w:pPr>
    </w:p>
    <w:p w14:paraId="52A604DE" w14:textId="4EACDAF1" w:rsidR="00EB6CAA" w:rsidRPr="00EB6CAA" w:rsidRDefault="00713F67" w:rsidP="003B4801">
      <w:pPr>
        <w:spacing w:after="0" w:line="240" w:lineRule="auto"/>
        <w:contextualSpacing/>
      </w:pPr>
      <w:r w:rsidRPr="00F3289B">
        <w:rPr>
          <w:b/>
          <w:bCs/>
        </w:rPr>
        <w:t xml:space="preserve">In </w:t>
      </w:r>
      <w:r w:rsidR="00EB6CAA" w:rsidRPr="00F3289B">
        <w:rPr>
          <w:b/>
          <w:bCs/>
        </w:rPr>
        <w:t>Giappone</w:t>
      </w:r>
      <w:r w:rsidRPr="00F3289B">
        <w:rPr>
          <w:b/>
          <w:bCs/>
        </w:rPr>
        <w:t>,</w:t>
      </w:r>
      <w:r w:rsidR="00EB6CAA" w:rsidRPr="00F3289B">
        <w:rPr>
          <w:b/>
          <w:bCs/>
        </w:rPr>
        <w:t xml:space="preserve"> prevediamo una riaccelerazione dell'attività nel resto del 2024</w:t>
      </w:r>
      <w:r w:rsidR="00EB6CAA" w:rsidRPr="00EB6CAA">
        <w:t xml:space="preserve">, quando i consumatori inizieranno a notare che, a differenza dell'anno scorso, i loro salari </w:t>
      </w:r>
      <w:r>
        <w:t>crescono</w:t>
      </w:r>
      <w:r w:rsidR="00EB6CAA" w:rsidRPr="00EB6CAA">
        <w:t xml:space="preserve"> nettamente al di sopra dell'inflazione. </w:t>
      </w:r>
      <w:r w:rsidR="00B45747">
        <w:t>Q</w:t>
      </w:r>
      <w:r w:rsidR="00EB6CAA" w:rsidRPr="00EB6CAA">
        <w:t>uesta maggiore crescita economica, in un contesto di output gap positivo, dovrebbe contribuire a consolidare tassi di inflazione compatibili con l'obiettivo della B</w:t>
      </w:r>
      <w:r>
        <w:t>o</w:t>
      </w:r>
      <w:r w:rsidR="00EB6CAA" w:rsidRPr="00EB6CAA">
        <w:t xml:space="preserve">J. Stando così le cose, </w:t>
      </w:r>
      <w:r w:rsidR="00EB6CAA" w:rsidRPr="00F3289B">
        <w:rPr>
          <w:b/>
          <w:bCs/>
        </w:rPr>
        <w:t>continuiamo a credere che la</w:t>
      </w:r>
      <w:r w:rsidR="00B45747">
        <w:rPr>
          <w:b/>
          <w:bCs/>
        </w:rPr>
        <w:t xml:space="preserve"> BoJ</w:t>
      </w:r>
      <w:r w:rsidR="00EB6CAA" w:rsidRPr="00F3289B">
        <w:rPr>
          <w:b/>
          <w:bCs/>
        </w:rPr>
        <w:t xml:space="preserve"> adotterà ulteriori misure di normalizzazione della politica monetaria entro la fine dell'anno</w:t>
      </w:r>
      <w:r w:rsidR="00B45747">
        <w:rPr>
          <w:b/>
          <w:bCs/>
        </w:rPr>
        <w:t>.</w:t>
      </w:r>
    </w:p>
    <w:p w14:paraId="5CE4C7C2" w14:textId="77777777" w:rsidR="005C2AB3" w:rsidRDefault="005C2AB3" w:rsidP="003B4801">
      <w:pPr>
        <w:spacing w:after="0" w:line="240" w:lineRule="auto"/>
        <w:contextualSpacing/>
        <w:rPr>
          <w:b/>
          <w:bCs/>
        </w:rPr>
      </w:pPr>
    </w:p>
    <w:p w14:paraId="1BFC1595" w14:textId="74148A6E" w:rsidR="00EB6CAA" w:rsidRDefault="00EB6CAA" w:rsidP="003B4801">
      <w:pPr>
        <w:spacing w:after="0" w:line="240" w:lineRule="auto"/>
        <w:contextualSpacing/>
      </w:pPr>
      <w:r w:rsidRPr="00F3289B">
        <w:rPr>
          <w:b/>
          <w:bCs/>
        </w:rPr>
        <w:lastRenderedPageBreak/>
        <w:t xml:space="preserve">Sul fronte dei rischi, </w:t>
      </w:r>
      <w:r w:rsidR="00713F67" w:rsidRPr="00F3289B">
        <w:rPr>
          <w:b/>
          <w:bCs/>
        </w:rPr>
        <w:t xml:space="preserve">restiamo </w:t>
      </w:r>
      <w:r w:rsidRPr="00F3289B">
        <w:rPr>
          <w:b/>
          <w:bCs/>
        </w:rPr>
        <w:t>attenti sia ai rischi geopolitici sia a quelli legati agli elevati deficit pubblici e ai livelli di debito di alcuni Paesi.</w:t>
      </w:r>
      <w:r w:rsidRPr="00EB6CAA">
        <w:t xml:space="preserve"> </w:t>
      </w:r>
      <w:r w:rsidR="00713F67">
        <w:t>N</w:t>
      </w:r>
      <w:r w:rsidRPr="00EB6CAA">
        <w:t>on riteniamo</w:t>
      </w:r>
      <w:r w:rsidR="00713F67">
        <w:t>, però,</w:t>
      </w:r>
      <w:r w:rsidRPr="00EB6CAA">
        <w:t xml:space="preserve"> che i conflitti in Medio Oriente o in Ucraina possano portare a un aumento serio e sostenuto dei prezzi dell'energia</w:t>
      </w:r>
      <w:r w:rsidR="002B29CD">
        <w:t>.</w:t>
      </w:r>
      <w:r w:rsidR="00713F67">
        <w:t xml:space="preserve"> L</w:t>
      </w:r>
      <w:r w:rsidRPr="00EB6CAA">
        <w:t xml:space="preserve">a traiettoria insostenibile del debito pubblico in molti Paesi </w:t>
      </w:r>
      <w:r w:rsidR="00713F67">
        <w:t>potrebbe</w:t>
      </w:r>
      <w:r w:rsidR="005C2AB3">
        <w:t xml:space="preserve"> generare</w:t>
      </w:r>
      <w:r w:rsidR="00B45747">
        <w:t xml:space="preserve"> </w:t>
      </w:r>
      <w:r w:rsidRPr="00EB6CAA">
        <w:t>episodi potenzialmente dirompenti di tensione finanziaria.</w:t>
      </w:r>
    </w:p>
    <w:p w14:paraId="44331D82" w14:textId="77777777" w:rsidR="00EB6CAA" w:rsidRPr="00EB6CAA" w:rsidRDefault="00EB6CAA" w:rsidP="003B4801">
      <w:pPr>
        <w:spacing w:after="0" w:line="240" w:lineRule="auto"/>
        <w:contextualSpacing/>
      </w:pPr>
    </w:p>
    <w:p w14:paraId="51F4ADF6" w14:textId="4B6214DB" w:rsidR="00EB6CAA" w:rsidRPr="00ED1E98" w:rsidRDefault="00ED1E98" w:rsidP="00EB6CAA">
      <w:pPr>
        <w:spacing w:after="0" w:line="240" w:lineRule="auto"/>
        <w:contextualSpacing/>
        <w:rPr>
          <w:u w:val="single"/>
        </w:rPr>
      </w:pPr>
      <w:r w:rsidRPr="00ED1E98">
        <w:rPr>
          <w:u w:val="single"/>
        </w:rPr>
        <w:t>View</w:t>
      </w:r>
      <w:r w:rsidR="00EB6CAA" w:rsidRPr="00ED1E98">
        <w:rPr>
          <w:u w:val="single"/>
        </w:rPr>
        <w:t xml:space="preserve"> </w:t>
      </w:r>
      <w:r w:rsidRPr="00ED1E98">
        <w:rPr>
          <w:u w:val="single"/>
        </w:rPr>
        <w:t>di</w:t>
      </w:r>
      <w:r w:rsidR="00EB6CAA" w:rsidRPr="00ED1E98">
        <w:rPr>
          <w:u w:val="single"/>
        </w:rPr>
        <w:t xml:space="preserve"> mercato</w:t>
      </w:r>
    </w:p>
    <w:p w14:paraId="783226CC" w14:textId="09E63755" w:rsidR="00EB6CAA" w:rsidRDefault="00EB6CAA" w:rsidP="00EB6CAA">
      <w:pPr>
        <w:spacing w:after="0" w:line="240" w:lineRule="auto"/>
        <w:contextualSpacing/>
      </w:pPr>
      <w:r w:rsidRPr="00ED1E98">
        <w:rPr>
          <w:b/>
          <w:bCs/>
        </w:rPr>
        <w:t>Azioni</w:t>
      </w:r>
      <w:r>
        <w:t xml:space="preserve">: </w:t>
      </w:r>
      <w:r w:rsidR="00B45747">
        <w:t>i</w:t>
      </w:r>
      <w:r w:rsidRPr="00B45747">
        <w:t>n un contesto di crescita abbastanza solida, ma senza rialzi dei tassi</w:t>
      </w:r>
      <w:r w:rsidRPr="00F3289B">
        <w:rPr>
          <w:b/>
          <w:bCs/>
        </w:rPr>
        <w:t>, puntiamo su posizioni equilibrate tra value e growth</w:t>
      </w:r>
      <w:r>
        <w:t xml:space="preserve"> e pensiamo, allo stesso tempo, che </w:t>
      </w:r>
      <w:r w:rsidRPr="00F3289B">
        <w:rPr>
          <w:b/>
          <w:bCs/>
        </w:rPr>
        <w:t>i titoli ciclici possano fare meglio di quelli difensivi</w:t>
      </w:r>
      <w:r>
        <w:t xml:space="preserve"> nel resto del 2024. Dal punto di vista geografico, </w:t>
      </w:r>
      <w:r w:rsidRPr="00F3289B">
        <w:rPr>
          <w:b/>
          <w:bCs/>
        </w:rPr>
        <w:t>preferiamo l'azionario europeo a quello statunitense</w:t>
      </w:r>
      <w:r>
        <w:t xml:space="preserve">. In ogni caso, </w:t>
      </w:r>
      <w:r w:rsidRPr="00F3289B">
        <w:rPr>
          <w:b/>
          <w:bCs/>
        </w:rPr>
        <w:t>ci piace anche il segmento delle piccole imprese negli Stati Uniti</w:t>
      </w:r>
      <w:r w:rsidR="00B45747" w:rsidRPr="00F3289B">
        <w:t>, che</w:t>
      </w:r>
      <w:r>
        <w:t xml:space="preserve"> </w:t>
      </w:r>
      <w:r w:rsidR="00B45747">
        <w:t xml:space="preserve">hanno </w:t>
      </w:r>
      <w:r>
        <w:t xml:space="preserve">valutazioni un po' più </w:t>
      </w:r>
      <w:r w:rsidR="004C0628">
        <w:t xml:space="preserve">economiche </w:t>
      </w:r>
      <w:r>
        <w:t>in un mercato che non</w:t>
      </w:r>
      <w:r w:rsidR="004C0628">
        <w:t xml:space="preserve"> lo</w:t>
      </w:r>
      <w:r>
        <w:t xml:space="preserve"> è affatto e, inoltre, potrebbero finire per beneficiare di un contesto di forza macro e di moderati tagli dei tassi. Infine, riteniamo che </w:t>
      </w:r>
      <w:r w:rsidRPr="00F3289B">
        <w:rPr>
          <w:b/>
          <w:bCs/>
        </w:rPr>
        <w:t>dovremmo avere anche una certa esposizione all'azionario dell'Asia emergente, senza escludere la Cina</w:t>
      </w:r>
      <w:r>
        <w:t>.</w:t>
      </w:r>
    </w:p>
    <w:p w14:paraId="757ACA61" w14:textId="77777777" w:rsidR="00EB6CAA" w:rsidRPr="00EB6CAA" w:rsidRDefault="00EB6CAA" w:rsidP="00EB6CAA">
      <w:pPr>
        <w:spacing w:after="0" w:line="240" w:lineRule="auto"/>
        <w:contextualSpacing/>
      </w:pPr>
    </w:p>
    <w:p w14:paraId="4D10621B" w14:textId="463E883A" w:rsidR="00B45747" w:rsidRDefault="00EB6CAA" w:rsidP="00B45747">
      <w:pPr>
        <w:spacing w:after="0" w:line="240" w:lineRule="auto"/>
        <w:contextualSpacing/>
        <w:rPr>
          <w:lang w:val="es-ES"/>
        </w:rPr>
      </w:pPr>
      <w:r w:rsidRPr="00F3289B">
        <w:rPr>
          <w:b/>
          <w:bCs/>
        </w:rPr>
        <w:t>Titoli di Stato</w:t>
      </w:r>
      <w:r w:rsidRPr="00ED1E98">
        <w:t xml:space="preserve">: nel caso della curva statunitense continuiamo a considerare la parte lunga della curva con una certa cautela. </w:t>
      </w:r>
      <w:r w:rsidRPr="00F3289B">
        <w:rPr>
          <w:b/>
          <w:bCs/>
        </w:rPr>
        <w:t>Per quanto riguarda la curva tedesca</w:t>
      </w:r>
      <w:r w:rsidRPr="00ED1E98">
        <w:t xml:space="preserve">, </w:t>
      </w:r>
      <w:r w:rsidRPr="00F3289B">
        <w:rPr>
          <w:b/>
          <w:bCs/>
        </w:rPr>
        <w:t xml:space="preserve">continuiamo a ritenere che gli attuali livelli dei tassi medi e lunghi siano ancora troppo bassi e non riflettano pienamente i segnali di ripresa macro </w:t>
      </w:r>
      <w:r w:rsidR="005C2AB3">
        <w:rPr>
          <w:b/>
          <w:bCs/>
        </w:rPr>
        <w:t>dell’Eurozona</w:t>
      </w:r>
      <w:r w:rsidRPr="00ED1E98">
        <w:t>. Allo stesso tempo, non esclu</w:t>
      </w:r>
      <w:r w:rsidR="0037467B">
        <w:t>diamo</w:t>
      </w:r>
      <w:r w:rsidRPr="00ED1E98">
        <w:t xml:space="preserve"> che la delicata situazione di bilancio che caratterizza attualmente diversi Paesi dell'Eurozona possa a un certo punto portare a episodi di allargamento degli spread.</w:t>
      </w:r>
      <w:r w:rsidR="00B45747">
        <w:t xml:space="preserve"> </w:t>
      </w:r>
      <w:r w:rsidR="00B45747" w:rsidRPr="00EC4978">
        <w:rPr>
          <w:b/>
          <w:bCs/>
          <w:lang w:val="es-ES"/>
        </w:rPr>
        <w:t>Per quanto riguarda il Giappone,</w:t>
      </w:r>
      <w:r w:rsidR="00B45747">
        <w:rPr>
          <w:b/>
          <w:bCs/>
          <w:lang w:val="es-ES"/>
        </w:rPr>
        <w:t xml:space="preserve"> </w:t>
      </w:r>
      <w:r w:rsidR="00B45747" w:rsidRPr="00EC4978">
        <w:rPr>
          <w:b/>
          <w:bCs/>
          <w:lang w:val="es-ES"/>
        </w:rPr>
        <w:t>ci aspettiamo di assistere a ulteriori spostamenti verso l'alto della curva dei rendimenti</w:t>
      </w:r>
      <w:r w:rsidR="00B45747" w:rsidRPr="00EB6CAA">
        <w:rPr>
          <w:lang w:val="es-ES"/>
        </w:rPr>
        <w:t xml:space="preserve"> nipponica entro la fine dell'anno. </w:t>
      </w:r>
    </w:p>
    <w:p w14:paraId="0ECEBBE6" w14:textId="77777777" w:rsidR="00EB6CAA" w:rsidRPr="00B45747" w:rsidRDefault="00EB6CAA" w:rsidP="003B4801">
      <w:pPr>
        <w:spacing w:after="0" w:line="240" w:lineRule="auto"/>
        <w:contextualSpacing/>
        <w:rPr>
          <w:lang w:val="es-ES"/>
        </w:rPr>
      </w:pPr>
    </w:p>
    <w:p w14:paraId="7A0EBC30" w14:textId="245E97D2" w:rsidR="00EB6CAA" w:rsidRDefault="00EB6CAA" w:rsidP="003B4801">
      <w:pPr>
        <w:spacing w:after="0" w:line="240" w:lineRule="auto"/>
        <w:contextualSpacing/>
        <w:rPr>
          <w:lang w:val="es-ES"/>
        </w:rPr>
      </w:pPr>
      <w:r w:rsidRPr="00F3289B">
        <w:rPr>
          <w:b/>
          <w:bCs/>
          <w:lang w:val="es-ES"/>
        </w:rPr>
        <w:t>Obbligazioni societarie</w:t>
      </w:r>
      <w:r w:rsidRPr="00B45747">
        <w:rPr>
          <w:lang w:val="es-ES"/>
        </w:rPr>
        <w:t xml:space="preserve">: </w:t>
      </w:r>
      <w:r w:rsidRPr="00F3289B">
        <w:rPr>
          <w:b/>
          <w:bCs/>
          <w:lang w:val="es-ES"/>
        </w:rPr>
        <w:t>preferi</w:t>
      </w:r>
      <w:r w:rsidR="0037467B" w:rsidRPr="00B45747">
        <w:rPr>
          <w:b/>
          <w:bCs/>
          <w:lang w:val="es-ES"/>
        </w:rPr>
        <w:t>amo</w:t>
      </w:r>
      <w:r w:rsidRPr="00F3289B">
        <w:rPr>
          <w:b/>
          <w:bCs/>
          <w:lang w:val="es-ES"/>
        </w:rPr>
        <w:t xml:space="preserve"> il credito perché i bilanci societari sono sani e perché, nel nostro scenario centrale di assenza di recessione, i tassi di default non dovrebbero aumentare troppo</w:t>
      </w:r>
      <w:r w:rsidRPr="00B45747">
        <w:rPr>
          <w:lang w:val="es-ES"/>
        </w:rPr>
        <w:t>. In ogni caso, dato</w:t>
      </w:r>
      <w:r w:rsidRPr="00EB6CAA">
        <w:rPr>
          <w:lang w:val="es-ES"/>
        </w:rPr>
        <w:t xml:space="preserve"> che gli spread sono già molto compressi, </w:t>
      </w:r>
      <w:r w:rsidRPr="00F3289B">
        <w:rPr>
          <w:b/>
          <w:bCs/>
          <w:lang w:val="es-ES"/>
        </w:rPr>
        <w:t>continuiamo a credere che sia sensato combinare l'esposizione al credito con posizioni ben selezionate in titoli di Stato emergenti in valuta locale</w:t>
      </w:r>
      <w:r w:rsidR="002E3443">
        <w:rPr>
          <w:b/>
          <w:bCs/>
          <w:lang w:val="es-ES"/>
        </w:rPr>
        <w:t xml:space="preserve"> </w:t>
      </w:r>
      <w:r w:rsidR="002E3443" w:rsidRPr="00F3289B">
        <w:rPr>
          <w:lang w:val="es-ES"/>
        </w:rPr>
        <w:t>che offrono</w:t>
      </w:r>
      <w:r w:rsidRPr="00EB6CAA">
        <w:rPr>
          <w:lang w:val="es-ES"/>
        </w:rPr>
        <w:t xml:space="preserve"> ottime prospettive di rendimento, soprattutto in termini di carry </w:t>
      </w:r>
      <w:r w:rsidR="002E3443">
        <w:rPr>
          <w:lang w:val="es-ES"/>
        </w:rPr>
        <w:t>e,</w:t>
      </w:r>
      <w:r w:rsidR="002E3443" w:rsidRPr="00EB6CAA">
        <w:rPr>
          <w:lang w:val="es-ES"/>
        </w:rPr>
        <w:t xml:space="preserve"> </w:t>
      </w:r>
      <w:r w:rsidRPr="00EB6CAA">
        <w:rPr>
          <w:lang w:val="es-ES"/>
        </w:rPr>
        <w:t>forse</w:t>
      </w:r>
      <w:r w:rsidR="002E3443">
        <w:rPr>
          <w:lang w:val="es-ES"/>
        </w:rPr>
        <w:t>,</w:t>
      </w:r>
      <w:r w:rsidRPr="00EB6CAA">
        <w:rPr>
          <w:lang w:val="es-ES"/>
        </w:rPr>
        <w:t xml:space="preserve"> anche grazie a possibili movimenti di apprezzamento di queste valute nei confronti dell'euro</w:t>
      </w:r>
      <w:r w:rsidR="002E3443">
        <w:rPr>
          <w:lang w:val="es-ES"/>
        </w:rPr>
        <w:t>.</w:t>
      </w:r>
      <w:r w:rsidRPr="00EB6CAA">
        <w:rPr>
          <w:lang w:val="es-ES"/>
        </w:rPr>
        <w:t xml:space="preserve"> </w:t>
      </w:r>
    </w:p>
    <w:p w14:paraId="2F9B1BE2" w14:textId="77777777" w:rsidR="003B4801" w:rsidRPr="00EB6CAA" w:rsidRDefault="003B4801" w:rsidP="003B4801">
      <w:pPr>
        <w:spacing w:after="0" w:line="240" w:lineRule="auto"/>
        <w:contextualSpacing/>
      </w:pPr>
    </w:p>
    <w:p w14:paraId="6E5BF326" w14:textId="74EB7755" w:rsidR="003B4801" w:rsidRPr="00EB6CAA" w:rsidRDefault="00EB6CAA" w:rsidP="00EB6CAA">
      <w:pPr>
        <w:spacing w:after="0" w:line="240" w:lineRule="auto"/>
        <w:contextualSpacing/>
        <w:rPr>
          <w:lang w:val="es-ES"/>
        </w:rPr>
      </w:pPr>
      <w:r w:rsidRPr="00EB6CAA">
        <w:rPr>
          <w:b/>
          <w:bCs/>
          <w:lang w:val="es-ES"/>
        </w:rPr>
        <w:t>Valute</w:t>
      </w:r>
      <w:r w:rsidRPr="00EB6CAA">
        <w:rPr>
          <w:lang w:val="es-ES"/>
        </w:rPr>
        <w:t xml:space="preserve">: </w:t>
      </w:r>
      <w:r w:rsidRPr="00F3289B">
        <w:rPr>
          <w:b/>
          <w:bCs/>
          <w:lang w:val="es-ES"/>
        </w:rPr>
        <w:t>la B</w:t>
      </w:r>
      <w:r w:rsidR="002E3443" w:rsidRPr="00F3289B">
        <w:rPr>
          <w:b/>
          <w:bCs/>
          <w:lang w:val="es-ES"/>
        </w:rPr>
        <w:t>ce</w:t>
      </w:r>
      <w:r w:rsidRPr="00F3289B">
        <w:rPr>
          <w:b/>
          <w:bCs/>
          <w:lang w:val="es-ES"/>
        </w:rPr>
        <w:t xml:space="preserve"> mantiene un tono molto dovish e questo dovrebbe favorire una certa debolezza dell'euro nei prossimi mesi</w:t>
      </w:r>
      <w:r w:rsidRPr="00EB6CAA">
        <w:rPr>
          <w:lang w:val="es-ES"/>
        </w:rPr>
        <w:t xml:space="preserve">. Pertanto, all'interno dei Paesi sviluppati, manteniamo una view positiva su valute come </w:t>
      </w:r>
      <w:r w:rsidR="002E3443">
        <w:rPr>
          <w:lang w:val="es-ES"/>
        </w:rPr>
        <w:t>c</w:t>
      </w:r>
      <w:r w:rsidR="002E3443" w:rsidRPr="002E3443">
        <w:rPr>
          <w:lang w:val="es-ES"/>
        </w:rPr>
        <w:t>orona norvegese</w:t>
      </w:r>
      <w:r w:rsidRPr="00EB6CAA">
        <w:rPr>
          <w:lang w:val="es-ES"/>
        </w:rPr>
        <w:t xml:space="preserve">, </w:t>
      </w:r>
      <w:r w:rsidR="002E3443" w:rsidRPr="002E3443">
        <w:rPr>
          <w:lang w:val="es-ES"/>
        </w:rPr>
        <w:t>dollaro neozelandese</w:t>
      </w:r>
      <w:r w:rsidRPr="00EB6CAA">
        <w:rPr>
          <w:lang w:val="es-ES"/>
        </w:rPr>
        <w:t xml:space="preserve">, </w:t>
      </w:r>
      <w:r w:rsidR="002E3443" w:rsidRPr="002E3443">
        <w:rPr>
          <w:lang w:val="es-ES"/>
        </w:rPr>
        <w:t>dollaro australiano</w:t>
      </w:r>
      <w:r w:rsidR="002E3443" w:rsidRPr="002E3443" w:rsidDel="002E3443">
        <w:rPr>
          <w:lang w:val="es-ES"/>
        </w:rPr>
        <w:t xml:space="preserve"> </w:t>
      </w:r>
      <w:r w:rsidRPr="00EB6CAA">
        <w:rPr>
          <w:lang w:val="es-ES"/>
        </w:rPr>
        <w:t xml:space="preserve">o </w:t>
      </w:r>
      <w:r w:rsidR="002E3443">
        <w:rPr>
          <w:lang w:val="es-ES"/>
        </w:rPr>
        <w:t>sterlina</w:t>
      </w:r>
      <w:r w:rsidRPr="00EB6CAA">
        <w:rPr>
          <w:lang w:val="es-ES"/>
        </w:rPr>
        <w:t>, grazie a fattori quali: rating elevato, carry positivo rispetto all'euro, buone prospettive macro rispetto alla zona euro, banche centrali generalmente meno dovish della B</w:t>
      </w:r>
      <w:r w:rsidR="002E3443">
        <w:rPr>
          <w:lang w:val="es-ES"/>
        </w:rPr>
        <w:t>ce</w:t>
      </w:r>
      <w:r w:rsidRPr="00EB6CAA">
        <w:rPr>
          <w:lang w:val="es-ES"/>
        </w:rPr>
        <w:t>.</w:t>
      </w:r>
      <w:r w:rsidR="00B45747">
        <w:rPr>
          <w:lang w:val="es-ES"/>
        </w:rPr>
        <w:t xml:space="preserve"> </w:t>
      </w:r>
      <w:r w:rsidR="002E3443">
        <w:rPr>
          <w:lang w:val="es-ES"/>
        </w:rPr>
        <w:t>N</w:t>
      </w:r>
      <w:r w:rsidRPr="00EB6CAA">
        <w:rPr>
          <w:lang w:val="es-ES"/>
        </w:rPr>
        <w:t>el mondo emergente, continuiamo a preferire le valute dei Paesi con una buona governance macro, un carry elevato rispetto all'euro e prospettive di crescita economica favorevoli (</w:t>
      </w:r>
      <w:r w:rsidR="002E3443">
        <w:rPr>
          <w:lang w:val="es-ES"/>
        </w:rPr>
        <w:t>real brasiliano</w:t>
      </w:r>
      <w:r w:rsidRPr="00EB6CAA">
        <w:rPr>
          <w:lang w:val="es-ES"/>
        </w:rPr>
        <w:t xml:space="preserve">, </w:t>
      </w:r>
      <w:r w:rsidR="002E3443" w:rsidRPr="002E3443">
        <w:rPr>
          <w:lang w:val="es-ES"/>
        </w:rPr>
        <w:t>rupia indiana</w:t>
      </w:r>
      <w:r w:rsidRPr="00EB6CAA">
        <w:rPr>
          <w:lang w:val="es-ES"/>
        </w:rPr>
        <w:t xml:space="preserve">, </w:t>
      </w:r>
      <w:r w:rsidR="002E3443">
        <w:rPr>
          <w:lang w:val="es-ES"/>
        </w:rPr>
        <w:t>peso messicano</w:t>
      </w:r>
      <w:r w:rsidRPr="00EB6CAA">
        <w:rPr>
          <w:lang w:val="es-ES"/>
        </w:rPr>
        <w:t xml:space="preserve">, </w:t>
      </w:r>
      <w:r w:rsidR="002E3443">
        <w:rPr>
          <w:lang w:val="es-ES"/>
        </w:rPr>
        <w:t>rupia indonesiana</w:t>
      </w:r>
      <w:r w:rsidRPr="00EB6CAA">
        <w:rPr>
          <w:lang w:val="es-ES"/>
        </w:rPr>
        <w:t>). Per il resto</w:t>
      </w:r>
      <w:r w:rsidRPr="00F3289B">
        <w:rPr>
          <w:b/>
          <w:bCs/>
          <w:lang w:val="es-ES"/>
        </w:rPr>
        <w:t>, riteniamo che, guardando a 6-9 mesi di distanza, il dollaro presenti più rischi di ribasso che di rialzo rispetto all'euro</w:t>
      </w:r>
      <w:r w:rsidR="002E3443">
        <w:rPr>
          <w:lang w:val="es-ES"/>
        </w:rPr>
        <w:t xml:space="preserve">, </w:t>
      </w:r>
      <w:r w:rsidRPr="00EB6CAA">
        <w:rPr>
          <w:lang w:val="es-ES"/>
        </w:rPr>
        <w:t>in primo luogo, perché è fondamentalmente apprezzato</w:t>
      </w:r>
      <w:r w:rsidR="002E3443">
        <w:rPr>
          <w:lang w:val="es-ES"/>
        </w:rPr>
        <w:t>,</w:t>
      </w:r>
      <w:r w:rsidRPr="00EB6CAA">
        <w:rPr>
          <w:lang w:val="es-ES"/>
        </w:rPr>
        <w:t xml:space="preserve"> in secondo luogo, perché la situazione fiscale degli Stati Uniti è chiaramente peggiore di quella della media dell'eurozona; in terzo luogo, perché è sempre più chiaro che il differenziale di crescita tra Stati Uniti ed Europa si sta riducendo sensibilmente rispetto a quanto accadeva nel 2023.</w:t>
      </w:r>
    </w:p>
    <w:p w14:paraId="4DC9ED76" w14:textId="77777777" w:rsidR="008421EB" w:rsidRPr="00EB6CAA" w:rsidRDefault="008421EB" w:rsidP="003B4801">
      <w:pPr>
        <w:spacing w:after="0" w:line="240" w:lineRule="auto"/>
        <w:contextualSpacing/>
      </w:pPr>
    </w:p>
    <w:sectPr w:rsidR="008421EB" w:rsidRPr="00EB6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AA"/>
    <w:rsid w:val="0002174A"/>
    <w:rsid w:val="00106FEA"/>
    <w:rsid w:val="00191EB4"/>
    <w:rsid w:val="001A3927"/>
    <w:rsid w:val="001E3BF2"/>
    <w:rsid w:val="002256DB"/>
    <w:rsid w:val="00246B10"/>
    <w:rsid w:val="00266606"/>
    <w:rsid w:val="002B29CD"/>
    <w:rsid w:val="002E3443"/>
    <w:rsid w:val="002F26AA"/>
    <w:rsid w:val="00303584"/>
    <w:rsid w:val="00330AB6"/>
    <w:rsid w:val="0037467B"/>
    <w:rsid w:val="00376A3A"/>
    <w:rsid w:val="003B0245"/>
    <w:rsid w:val="003B4801"/>
    <w:rsid w:val="004C0628"/>
    <w:rsid w:val="004E03F0"/>
    <w:rsid w:val="00543F01"/>
    <w:rsid w:val="005B0C66"/>
    <w:rsid w:val="005C2AB3"/>
    <w:rsid w:val="005D2CD6"/>
    <w:rsid w:val="005D4C4E"/>
    <w:rsid w:val="006613B4"/>
    <w:rsid w:val="00710193"/>
    <w:rsid w:val="00713F67"/>
    <w:rsid w:val="007F40B1"/>
    <w:rsid w:val="008421EB"/>
    <w:rsid w:val="009D106F"/>
    <w:rsid w:val="00A778CA"/>
    <w:rsid w:val="00AE074A"/>
    <w:rsid w:val="00B33108"/>
    <w:rsid w:val="00B45747"/>
    <w:rsid w:val="00B5626B"/>
    <w:rsid w:val="00B65094"/>
    <w:rsid w:val="00C70AF2"/>
    <w:rsid w:val="00C95BBD"/>
    <w:rsid w:val="00CB6DAF"/>
    <w:rsid w:val="00CC21AB"/>
    <w:rsid w:val="00CD2F9C"/>
    <w:rsid w:val="00D00090"/>
    <w:rsid w:val="00D544B3"/>
    <w:rsid w:val="00D628E8"/>
    <w:rsid w:val="00D928B3"/>
    <w:rsid w:val="00DB7E9D"/>
    <w:rsid w:val="00EB6CAA"/>
    <w:rsid w:val="00EC03D9"/>
    <w:rsid w:val="00EC6644"/>
    <w:rsid w:val="00ED1E98"/>
    <w:rsid w:val="00ED5BBE"/>
    <w:rsid w:val="00F25821"/>
    <w:rsid w:val="00F3289B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787"/>
  <w15:chartTrackingRefBased/>
  <w15:docId w15:val="{E9EDA357-63DF-4C58-B0CA-5196F79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C4E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2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26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26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26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26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26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26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26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2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2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2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26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26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26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26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26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26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2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2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26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2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26AA"/>
    <w:pPr>
      <w:spacing w:before="160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26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F26AA"/>
    <w:pPr>
      <w:ind w:left="720"/>
      <w:contextualSpacing/>
    </w:pPr>
    <w:rPr>
      <w:rFonts w:asciiTheme="minorHAnsi" w:hAnsiTheme="minorHAnsi" w:cstheme="minorBidi"/>
    </w:rPr>
  </w:style>
  <w:style w:type="character" w:styleId="Enfasiintensa">
    <w:name w:val="Intense Emphasis"/>
    <w:basedOn w:val="Carpredefinitoparagrafo"/>
    <w:uiPriority w:val="21"/>
    <w:qFormat/>
    <w:rsid w:val="002F26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2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26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F26AA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5D2CD6"/>
    <w:pPr>
      <w:spacing w:after="0" w:line="240" w:lineRule="auto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4E03F0"/>
    <w:pPr>
      <w:widowControl w:val="0"/>
      <w:autoSpaceDE w:val="0"/>
      <w:autoSpaceDN w:val="0"/>
      <w:spacing w:after="0" w:line="240" w:lineRule="auto"/>
    </w:pPr>
    <w:rPr>
      <w:rFonts w:eastAsia="Calibri"/>
      <w:kern w:val="0"/>
      <w:sz w:val="20"/>
      <w:szCs w:val="20"/>
      <w:lang w:val="es-E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3F0"/>
    <w:rPr>
      <w:rFonts w:ascii="Calibri" w:eastAsia="Calibri" w:hAnsi="Calibri" w:cs="Calibri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30</cp:revision>
  <dcterms:created xsi:type="dcterms:W3CDTF">2024-05-07T09:37:00Z</dcterms:created>
  <dcterms:modified xsi:type="dcterms:W3CDTF">2024-06-07T13:53:00Z</dcterms:modified>
</cp:coreProperties>
</file>