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78320" w14:textId="30D6F553" w:rsidR="00851317" w:rsidRDefault="00887C57" w:rsidP="00851317">
      <w:pPr>
        <w:spacing w:after="0" w:line="240" w:lineRule="auto"/>
        <w:rPr>
          <w:rFonts w:ascii="Calibri" w:hAnsi="Calibri" w:cs="Calibri"/>
          <w:b/>
          <w:bCs/>
        </w:rPr>
      </w:pPr>
      <w:r w:rsidRPr="00887C57">
        <w:rPr>
          <w:rFonts w:ascii="Calibri" w:hAnsi="Calibri" w:cs="Calibri"/>
          <w:b/>
          <w:bCs/>
        </w:rPr>
        <w:t>Schroders: inflazione in calo e</w:t>
      </w:r>
      <w:r>
        <w:rPr>
          <w:rFonts w:ascii="Calibri" w:hAnsi="Calibri" w:cs="Calibri"/>
          <w:b/>
          <w:bCs/>
        </w:rPr>
        <w:t xml:space="preserve"> banche centrali più </w:t>
      </w:r>
      <w:proofErr w:type="spellStart"/>
      <w:r>
        <w:rPr>
          <w:rFonts w:ascii="Calibri" w:hAnsi="Calibri" w:cs="Calibri"/>
          <w:b/>
          <w:bCs/>
        </w:rPr>
        <w:t>dovish</w:t>
      </w:r>
      <w:proofErr w:type="spellEnd"/>
      <w:r>
        <w:rPr>
          <w:rFonts w:ascii="Calibri" w:hAnsi="Calibri" w:cs="Calibri"/>
          <w:b/>
          <w:bCs/>
        </w:rPr>
        <w:t xml:space="preserve"> spingono verso uno scenario di ‘soft landing’</w:t>
      </w:r>
    </w:p>
    <w:p w14:paraId="661F26B5" w14:textId="77777777" w:rsidR="009A41B3" w:rsidRPr="00851317" w:rsidRDefault="009A41B3" w:rsidP="00851317">
      <w:pPr>
        <w:spacing w:after="0" w:line="240" w:lineRule="auto"/>
        <w:rPr>
          <w:rFonts w:ascii="Calibri" w:hAnsi="Calibri" w:cs="Calibri"/>
          <w:b/>
          <w:bCs/>
        </w:rPr>
      </w:pPr>
    </w:p>
    <w:p w14:paraId="326E1E7E" w14:textId="77777777" w:rsidR="00851317" w:rsidRPr="00851317" w:rsidRDefault="00851317" w:rsidP="00851317">
      <w:pPr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851317">
        <w:rPr>
          <w:rFonts w:ascii="Calibri" w:hAnsi="Calibri" w:cs="Calibri"/>
          <w:lang w:val="en-US"/>
        </w:rPr>
        <w:t xml:space="preserve">A </w:t>
      </w:r>
      <w:proofErr w:type="spellStart"/>
      <w:r w:rsidRPr="00851317">
        <w:rPr>
          <w:rFonts w:ascii="Calibri" w:hAnsi="Calibri" w:cs="Calibri"/>
          <w:lang w:val="en-US"/>
        </w:rPr>
        <w:t>cura</w:t>
      </w:r>
      <w:proofErr w:type="spellEnd"/>
      <w:r w:rsidRPr="00851317">
        <w:rPr>
          <w:rFonts w:ascii="Calibri" w:hAnsi="Calibri" w:cs="Calibri"/>
          <w:lang w:val="en-US"/>
        </w:rPr>
        <w:t xml:space="preserve"> di</w:t>
      </w:r>
      <w:r w:rsidRPr="00851317">
        <w:rPr>
          <w:rFonts w:ascii="Calibri" w:hAnsi="Calibri" w:cs="Calibri"/>
          <w:b/>
          <w:bCs/>
          <w:lang w:val="en-US"/>
        </w:rPr>
        <w:t xml:space="preserve"> Julien </w:t>
      </w:r>
      <w:proofErr w:type="spellStart"/>
      <w:r w:rsidRPr="00851317">
        <w:rPr>
          <w:rFonts w:ascii="Calibri" w:hAnsi="Calibri" w:cs="Calibri"/>
          <w:b/>
          <w:bCs/>
          <w:lang w:val="en-US"/>
        </w:rPr>
        <w:t>Houdain</w:t>
      </w:r>
      <w:proofErr w:type="spellEnd"/>
      <w:r w:rsidRPr="00851317">
        <w:rPr>
          <w:rFonts w:ascii="Calibri" w:hAnsi="Calibri" w:cs="Calibri"/>
          <w:b/>
          <w:bCs/>
          <w:lang w:val="en-US"/>
        </w:rPr>
        <w:t>, Head of Global Unconstrained Fixed Income, Schroders</w:t>
      </w:r>
    </w:p>
    <w:p w14:paraId="4131955C" w14:textId="77777777" w:rsidR="00851317" w:rsidRPr="00851317" w:rsidRDefault="00851317" w:rsidP="00851317">
      <w:pPr>
        <w:spacing w:after="0" w:line="240" w:lineRule="auto"/>
        <w:rPr>
          <w:rFonts w:ascii="Calibri" w:hAnsi="Calibri" w:cs="Calibri"/>
          <w:b/>
          <w:bCs/>
          <w:lang w:val="en-US"/>
        </w:rPr>
      </w:pPr>
    </w:p>
    <w:p w14:paraId="4BCC8D13" w14:textId="37836FBD" w:rsidR="00851317" w:rsidRPr="00851317" w:rsidRDefault="00851317" w:rsidP="00851317">
      <w:pPr>
        <w:pStyle w:val="Default"/>
        <w:rPr>
          <w:rFonts w:ascii="Calibri" w:hAnsi="Calibri" w:cs="Calibri"/>
          <w:sz w:val="22"/>
          <w:szCs w:val="22"/>
        </w:rPr>
      </w:pPr>
      <w:r w:rsidRPr="00851317">
        <w:rPr>
          <w:rFonts w:ascii="Calibri" w:hAnsi="Calibri" w:cs="Calibri"/>
          <w:sz w:val="22"/>
          <w:szCs w:val="22"/>
        </w:rPr>
        <w:t xml:space="preserve">Nell'ultimo mese abbiamo </w:t>
      </w:r>
      <w:r w:rsidRPr="00A54F5C">
        <w:rPr>
          <w:rFonts w:ascii="Calibri" w:hAnsi="Calibri" w:cs="Calibri"/>
          <w:sz w:val="22"/>
          <w:szCs w:val="22"/>
        </w:rPr>
        <w:t>alzato la probabilità di un "atterraggio morbido" al livello più alto dell'ultimo anno</w:t>
      </w:r>
      <w:r w:rsidR="00A54F5C">
        <w:rPr>
          <w:rFonts w:ascii="Calibri" w:hAnsi="Calibri" w:cs="Calibri"/>
          <w:sz w:val="22"/>
          <w:szCs w:val="22"/>
        </w:rPr>
        <w:t xml:space="preserve">, </w:t>
      </w:r>
      <w:r w:rsidRPr="00851317">
        <w:rPr>
          <w:rFonts w:ascii="Calibri" w:hAnsi="Calibri" w:cs="Calibri"/>
          <w:sz w:val="22"/>
          <w:szCs w:val="22"/>
        </w:rPr>
        <w:t xml:space="preserve">favorito da notizie nettamente migliori sull'inflazione statunitense. </w:t>
      </w:r>
    </w:p>
    <w:p w14:paraId="03ABFFFE" w14:textId="77777777" w:rsidR="00851317" w:rsidRPr="00851317" w:rsidRDefault="00851317" w:rsidP="00851317">
      <w:pPr>
        <w:pStyle w:val="Default"/>
        <w:rPr>
          <w:rFonts w:ascii="Calibri" w:hAnsi="Calibri" w:cs="Calibri"/>
          <w:sz w:val="22"/>
          <w:szCs w:val="22"/>
        </w:rPr>
      </w:pPr>
    </w:p>
    <w:p w14:paraId="796E6E21" w14:textId="01738CA3" w:rsidR="00851317" w:rsidRPr="00EA6D42" w:rsidRDefault="00851317" w:rsidP="00851317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EA6D42">
        <w:rPr>
          <w:rFonts w:ascii="Calibri" w:hAnsi="Calibri" w:cs="Calibri"/>
          <w:b/>
          <w:bCs/>
          <w:sz w:val="20"/>
          <w:szCs w:val="20"/>
        </w:rPr>
        <w:t>Maggiore fiducia in un atterraggio morbido, si riduce il rischio di ‘no landing’</w:t>
      </w:r>
    </w:p>
    <w:p w14:paraId="40C5E8E3" w14:textId="6709A246" w:rsidR="00851317" w:rsidRDefault="00851317" w:rsidP="00851317">
      <w:pPr>
        <w:pStyle w:val="Default"/>
        <w:rPr>
          <w:rFonts w:ascii="Calibri" w:hAnsi="Calibri" w:cs="Calibri"/>
          <w:sz w:val="22"/>
          <w:szCs w:val="22"/>
        </w:rPr>
      </w:pPr>
      <w:r w:rsidRPr="00851317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C6E4AC7" wp14:editId="215BB370">
            <wp:extent cx="4428279" cy="1049867"/>
            <wp:effectExtent l="0" t="0" r="0" b="0"/>
            <wp:docPr id="192050774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20" cy="105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3E527" w14:textId="77777777" w:rsidR="00851317" w:rsidRDefault="00851317" w:rsidP="00851317">
      <w:pPr>
        <w:pStyle w:val="Default"/>
        <w:rPr>
          <w:rFonts w:ascii="Calibri" w:hAnsi="Calibri" w:cs="Calibri"/>
          <w:sz w:val="22"/>
          <w:szCs w:val="22"/>
        </w:rPr>
      </w:pPr>
    </w:p>
    <w:p w14:paraId="4D83BA0A" w14:textId="2FAA3733" w:rsidR="00851317" w:rsidRPr="00A54F5C" w:rsidRDefault="00851317" w:rsidP="00851317">
      <w:pPr>
        <w:pStyle w:val="typographyparagraph-sc-numijp-1"/>
        <w:spacing w:before="0" w:beforeAutospacing="0" w:after="0" w:afterAutospacing="0"/>
        <w:rPr>
          <w:rStyle w:val="Enfasicorsivo"/>
          <w:rFonts w:ascii="Calibri" w:eastAsiaTheme="majorEastAsia" w:hAnsi="Calibri" w:cs="Calibri"/>
          <w:color w:val="000000"/>
          <w:sz w:val="16"/>
          <w:szCs w:val="16"/>
          <w:lang w:val="en-US"/>
        </w:rPr>
      </w:pPr>
      <w:r w:rsidRPr="00A54F5C">
        <w:rPr>
          <w:rStyle w:val="Enfasicorsivo"/>
          <w:rFonts w:ascii="Calibri" w:eastAsiaTheme="majorEastAsia" w:hAnsi="Calibri" w:cs="Calibri"/>
          <w:color w:val="000000"/>
          <w:sz w:val="16"/>
          <w:szCs w:val="16"/>
          <w:lang w:val="en-US"/>
        </w:rPr>
        <w:t xml:space="preserve">Fonte: Schroders Global Unconstrained Fixed Income team, 17 </w:t>
      </w:r>
      <w:proofErr w:type="spellStart"/>
      <w:r w:rsidRPr="00A54F5C">
        <w:rPr>
          <w:rStyle w:val="Enfasicorsivo"/>
          <w:rFonts w:ascii="Calibri" w:eastAsiaTheme="majorEastAsia" w:hAnsi="Calibri" w:cs="Calibri"/>
          <w:color w:val="000000"/>
          <w:sz w:val="16"/>
          <w:szCs w:val="16"/>
          <w:lang w:val="en-US"/>
        </w:rPr>
        <w:t>giugno</w:t>
      </w:r>
      <w:proofErr w:type="spellEnd"/>
      <w:r w:rsidRPr="00A54F5C">
        <w:rPr>
          <w:rStyle w:val="Enfasicorsivo"/>
          <w:rFonts w:ascii="Calibri" w:eastAsiaTheme="majorEastAsia" w:hAnsi="Calibri" w:cs="Calibri"/>
          <w:color w:val="000000"/>
          <w:sz w:val="16"/>
          <w:szCs w:val="16"/>
          <w:lang w:val="en-US"/>
        </w:rPr>
        <w:t xml:space="preserve"> 2024. </w:t>
      </w:r>
    </w:p>
    <w:p w14:paraId="283F0C26" w14:textId="77777777" w:rsidR="00851317" w:rsidRPr="00851317" w:rsidRDefault="00851317" w:rsidP="00851317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14:paraId="211C9B2C" w14:textId="72D3148F" w:rsidR="009908B3" w:rsidRPr="009908B3" w:rsidRDefault="009908B3" w:rsidP="009908B3">
      <w:pPr>
        <w:spacing w:after="0" w:line="240" w:lineRule="auto"/>
        <w:rPr>
          <w:rFonts w:ascii="Calibri" w:hAnsi="Calibri" w:cs="Calibri"/>
          <w:u w:val="single"/>
        </w:rPr>
      </w:pPr>
      <w:r w:rsidRPr="009908B3">
        <w:rPr>
          <w:rFonts w:ascii="Calibri" w:hAnsi="Calibri" w:cs="Calibri"/>
          <w:u w:val="single"/>
        </w:rPr>
        <w:t>"</w:t>
      </w:r>
      <w:r>
        <w:rPr>
          <w:rFonts w:ascii="Calibri" w:hAnsi="Calibri" w:cs="Calibri"/>
          <w:u w:val="single"/>
        </w:rPr>
        <w:t>Un</w:t>
      </w:r>
      <w:r w:rsidRPr="009908B3">
        <w:rPr>
          <w:rFonts w:ascii="Calibri" w:hAnsi="Calibri" w:cs="Calibri"/>
          <w:u w:val="single"/>
        </w:rPr>
        <w:t xml:space="preserve"> viaggio di mille miglia inizia con un solo passo" </w:t>
      </w:r>
    </w:p>
    <w:p w14:paraId="61799E6E" w14:textId="4EE47DBF" w:rsidR="009908B3" w:rsidRDefault="00885AFF" w:rsidP="009908B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le recenti riunioni delle </w:t>
      </w:r>
      <w:r w:rsidR="009908B3" w:rsidRPr="00A54F5C">
        <w:rPr>
          <w:rFonts w:ascii="Calibri" w:hAnsi="Calibri" w:cs="Calibri"/>
        </w:rPr>
        <w:t>banche centrali</w:t>
      </w:r>
      <w:r>
        <w:rPr>
          <w:rFonts w:ascii="Calibri" w:hAnsi="Calibri" w:cs="Calibri"/>
        </w:rPr>
        <w:t>, i</w:t>
      </w:r>
      <w:r w:rsidR="009908B3" w:rsidRPr="00A54F5C">
        <w:rPr>
          <w:rFonts w:ascii="Calibri" w:hAnsi="Calibri" w:cs="Calibri"/>
        </w:rPr>
        <w:t>l messaggio prevalente è che</w:t>
      </w:r>
      <w:r w:rsidR="009908B3" w:rsidRPr="00E07999">
        <w:rPr>
          <w:rFonts w:ascii="Calibri" w:hAnsi="Calibri" w:cs="Calibri"/>
          <w:b/>
          <w:bCs/>
        </w:rPr>
        <w:t xml:space="preserve"> le ragioni per allentare la politica monetaria si stanno consolidando</w:t>
      </w:r>
      <w:r w:rsidR="009908B3" w:rsidRPr="009908B3">
        <w:rPr>
          <w:rFonts w:ascii="Calibri" w:hAnsi="Calibri" w:cs="Calibri"/>
        </w:rPr>
        <w:t xml:space="preserve">. Tuttavia, l'entità di questo allentamento è oggetto di dibattito e i fondamentali economici non giustificano ancora una riduzione aggressiva dei tassi. </w:t>
      </w:r>
    </w:p>
    <w:p w14:paraId="5040A87F" w14:textId="77777777" w:rsidR="00A54F5C" w:rsidRPr="009908B3" w:rsidRDefault="00A54F5C" w:rsidP="009908B3">
      <w:pPr>
        <w:spacing w:after="0" w:line="240" w:lineRule="auto"/>
        <w:rPr>
          <w:rFonts w:ascii="Calibri" w:hAnsi="Calibri" w:cs="Calibri"/>
        </w:rPr>
      </w:pPr>
    </w:p>
    <w:p w14:paraId="11BFCBB0" w14:textId="5F11D529" w:rsidR="009908B3" w:rsidRPr="009908B3" w:rsidRDefault="009908B3" w:rsidP="009908B3">
      <w:pPr>
        <w:spacing w:after="0" w:line="240" w:lineRule="auto"/>
        <w:rPr>
          <w:rFonts w:ascii="Calibri" w:hAnsi="Calibri" w:cs="Calibri"/>
        </w:rPr>
      </w:pPr>
      <w:r w:rsidRPr="009908B3">
        <w:rPr>
          <w:rFonts w:ascii="Calibri" w:hAnsi="Calibri" w:cs="Calibri"/>
        </w:rPr>
        <w:t xml:space="preserve">Mentre </w:t>
      </w:r>
      <w:r w:rsidRPr="00E07999">
        <w:rPr>
          <w:rFonts w:ascii="Calibri" w:hAnsi="Calibri" w:cs="Calibri"/>
          <w:b/>
          <w:bCs/>
        </w:rPr>
        <w:t>la Banca Centrale Europea</w:t>
      </w:r>
      <w:r w:rsidR="00EA6D42">
        <w:rPr>
          <w:rFonts w:ascii="Calibri" w:hAnsi="Calibri" w:cs="Calibri"/>
          <w:b/>
          <w:bCs/>
        </w:rPr>
        <w:t xml:space="preserve"> (Bce)</w:t>
      </w:r>
      <w:r w:rsidRPr="00E07999">
        <w:rPr>
          <w:rFonts w:ascii="Calibri" w:hAnsi="Calibri" w:cs="Calibri"/>
          <w:b/>
          <w:bCs/>
        </w:rPr>
        <w:t xml:space="preserve"> ha dato il via al suo ciclo di allentamento</w:t>
      </w:r>
      <w:r w:rsidRPr="009908B3">
        <w:rPr>
          <w:rFonts w:ascii="Calibri" w:hAnsi="Calibri" w:cs="Calibri"/>
        </w:rPr>
        <w:t xml:space="preserve"> - una mossa annunciata con largo anticipo - </w:t>
      </w:r>
      <w:r w:rsidRPr="00E07999">
        <w:rPr>
          <w:rFonts w:ascii="Calibri" w:hAnsi="Calibri" w:cs="Calibri"/>
          <w:b/>
          <w:bCs/>
        </w:rPr>
        <w:t>il tono relativo alle prospettive sull’inflazione è stato cauto e il Consiglio direttivo è rimasto molto poco convinto sui tempi di ulteriori tagli</w:t>
      </w:r>
      <w:r w:rsidRPr="009908B3">
        <w:rPr>
          <w:rFonts w:ascii="Calibri" w:hAnsi="Calibri" w:cs="Calibri"/>
        </w:rPr>
        <w:t>. La recente ostinazione dell'inflazione dei servizi dell'</w:t>
      </w:r>
      <w:r>
        <w:rPr>
          <w:rFonts w:ascii="Calibri" w:hAnsi="Calibri" w:cs="Calibri"/>
        </w:rPr>
        <w:t>E</w:t>
      </w:r>
      <w:r w:rsidRPr="009908B3">
        <w:rPr>
          <w:rFonts w:ascii="Calibri" w:hAnsi="Calibri" w:cs="Calibri"/>
        </w:rPr>
        <w:t>urozona, insieme al rimbalzo della crescita, creerà senza dubbio motivi di cautela per la B</w:t>
      </w:r>
      <w:r>
        <w:rPr>
          <w:rFonts w:ascii="Calibri" w:hAnsi="Calibri" w:cs="Calibri"/>
        </w:rPr>
        <w:t>ce</w:t>
      </w:r>
      <w:r w:rsidRPr="009908B3">
        <w:rPr>
          <w:rFonts w:ascii="Calibri" w:hAnsi="Calibri" w:cs="Calibri"/>
        </w:rPr>
        <w:t xml:space="preserve">. </w:t>
      </w:r>
    </w:p>
    <w:p w14:paraId="090DACD3" w14:textId="77777777" w:rsidR="009908B3" w:rsidRPr="009908B3" w:rsidRDefault="009908B3" w:rsidP="00851317">
      <w:pPr>
        <w:spacing w:after="0" w:line="240" w:lineRule="auto"/>
        <w:rPr>
          <w:rFonts w:ascii="Calibri" w:hAnsi="Calibri" w:cs="Calibri"/>
        </w:rPr>
      </w:pPr>
    </w:p>
    <w:p w14:paraId="0DC70D9C" w14:textId="73A3873C" w:rsidR="009908B3" w:rsidRPr="009908B3" w:rsidRDefault="009908B3" w:rsidP="00851317">
      <w:pPr>
        <w:pStyle w:val="Default"/>
        <w:rPr>
          <w:rFonts w:ascii="Calibri" w:hAnsi="Calibri" w:cs="Calibri"/>
          <w:sz w:val="22"/>
          <w:szCs w:val="22"/>
        </w:rPr>
      </w:pPr>
      <w:r w:rsidRPr="009908B3">
        <w:rPr>
          <w:rFonts w:ascii="Calibri" w:hAnsi="Calibri" w:cs="Calibri"/>
          <w:sz w:val="22"/>
          <w:szCs w:val="22"/>
        </w:rPr>
        <w:t xml:space="preserve">La riunione di giugno della Federal Reserve si è conclusa con pochi fuochi d'artificio, ma </w:t>
      </w:r>
      <w:r w:rsidRPr="00E07999">
        <w:rPr>
          <w:rFonts w:ascii="Calibri" w:hAnsi="Calibri" w:cs="Calibri"/>
          <w:b/>
          <w:bCs/>
          <w:sz w:val="22"/>
          <w:szCs w:val="22"/>
        </w:rPr>
        <w:t>Powell ha sottolineato la necessità di vedere ulteriori prove di disinflazione prima di impegnarsi in una riduzione dei tassi</w:t>
      </w:r>
      <w:r w:rsidRPr="009908B3">
        <w:rPr>
          <w:rFonts w:ascii="Calibri" w:hAnsi="Calibri" w:cs="Calibri"/>
          <w:sz w:val="22"/>
          <w:szCs w:val="22"/>
        </w:rPr>
        <w:t xml:space="preserve">. A sostegno di ciò è stata effettuata una revisione del "dot plot", con </w:t>
      </w:r>
      <w:r w:rsidRPr="00E07999">
        <w:rPr>
          <w:rFonts w:ascii="Calibri" w:hAnsi="Calibri" w:cs="Calibri"/>
          <w:b/>
          <w:bCs/>
          <w:sz w:val="22"/>
          <w:szCs w:val="22"/>
        </w:rPr>
        <w:t>il "dot mediano" che indica un solo taglio per quest'anno</w:t>
      </w:r>
      <w:r w:rsidRPr="009908B3">
        <w:rPr>
          <w:rFonts w:ascii="Calibri" w:hAnsi="Calibri" w:cs="Calibri"/>
          <w:sz w:val="22"/>
          <w:szCs w:val="22"/>
        </w:rPr>
        <w:t xml:space="preserve"> (in precedenza erano tre), </w:t>
      </w:r>
      <w:r w:rsidRPr="00E07999">
        <w:rPr>
          <w:rFonts w:ascii="Calibri" w:hAnsi="Calibri" w:cs="Calibri"/>
          <w:sz w:val="22"/>
          <w:szCs w:val="22"/>
        </w:rPr>
        <w:t>ma con un ulteriore taglio l'anno prossimo, portando il totale a quattro tagli per il 2025</w:t>
      </w:r>
      <w:r w:rsidRPr="009908B3">
        <w:rPr>
          <w:rFonts w:ascii="Calibri" w:hAnsi="Calibri" w:cs="Calibri"/>
          <w:sz w:val="22"/>
          <w:szCs w:val="22"/>
        </w:rPr>
        <w:t xml:space="preserve">. Riteniamo che gli investitori non debbano concentrarsi troppo sul </w:t>
      </w:r>
      <w:r w:rsidR="00146067">
        <w:rPr>
          <w:rFonts w:ascii="Calibri" w:hAnsi="Calibri" w:cs="Calibri"/>
          <w:sz w:val="22"/>
          <w:szCs w:val="22"/>
        </w:rPr>
        <w:t>dot mediano</w:t>
      </w:r>
      <w:r w:rsidRPr="009908B3">
        <w:rPr>
          <w:rFonts w:ascii="Calibri" w:hAnsi="Calibri" w:cs="Calibri"/>
          <w:sz w:val="22"/>
          <w:szCs w:val="22"/>
        </w:rPr>
        <w:t xml:space="preserve"> per il 2024, dato che </w:t>
      </w:r>
      <w:r w:rsidRPr="00E07999">
        <w:rPr>
          <w:rFonts w:ascii="Calibri" w:hAnsi="Calibri" w:cs="Calibri"/>
          <w:b/>
          <w:bCs/>
          <w:sz w:val="22"/>
          <w:szCs w:val="22"/>
        </w:rPr>
        <w:t>l</w:t>
      </w:r>
      <w:r w:rsidR="00624C10">
        <w:rPr>
          <w:rFonts w:ascii="Calibri" w:hAnsi="Calibri" w:cs="Calibri"/>
          <w:b/>
          <w:bCs/>
          <w:sz w:val="22"/>
          <w:szCs w:val="22"/>
        </w:rPr>
        <w:t xml:space="preserve">a </w:t>
      </w:r>
      <w:proofErr w:type="spellStart"/>
      <w:r w:rsidR="00624C10">
        <w:rPr>
          <w:rFonts w:ascii="Calibri" w:hAnsi="Calibri" w:cs="Calibri"/>
          <w:b/>
          <w:bCs/>
          <w:sz w:val="22"/>
          <w:szCs w:val="22"/>
        </w:rPr>
        <w:t>view</w:t>
      </w:r>
      <w:proofErr w:type="spellEnd"/>
      <w:r w:rsidRPr="00E07999">
        <w:rPr>
          <w:rFonts w:ascii="Calibri" w:hAnsi="Calibri" w:cs="Calibri"/>
          <w:b/>
          <w:bCs/>
          <w:sz w:val="22"/>
          <w:szCs w:val="22"/>
        </w:rPr>
        <w:t xml:space="preserve"> "modale" del comitato è ancora quella di due tagli per quest'anno</w:t>
      </w:r>
      <w:r w:rsidRPr="009908B3">
        <w:rPr>
          <w:rFonts w:ascii="Calibri" w:hAnsi="Calibri" w:cs="Calibri"/>
          <w:sz w:val="22"/>
          <w:szCs w:val="22"/>
        </w:rPr>
        <w:t xml:space="preserve"> (i </w:t>
      </w:r>
      <w:r w:rsidR="00146067">
        <w:rPr>
          <w:rFonts w:ascii="Calibri" w:hAnsi="Calibri" w:cs="Calibri"/>
          <w:sz w:val="22"/>
          <w:szCs w:val="22"/>
        </w:rPr>
        <w:t>dot</w:t>
      </w:r>
      <w:r w:rsidRPr="009908B3">
        <w:rPr>
          <w:rFonts w:ascii="Calibri" w:hAnsi="Calibri" w:cs="Calibri"/>
          <w:sz w:val="22"/>
          <w:szCs w:val="22"/>
        </w:rPr>
        <w:t xml:space="preserve"> di 8 membri mostrano che </w:t>
      </w:r>
      <w:r w:rsidR="00146067">
        <w:rPr>
          <w:rFonts w:ascii="Calibri" w:hAnsi="Calibri" w:cs="Calibri"/>
          <w:sz w:val="22"/>
          <w:szCs w:val="22"/>
        </w:rPr>
        <w:t>considerano appropriati</w:t>
      </w:r>
      <w:r w:rsidRPr="009908B3">
        <w:rPr>
          <w:rFonts w:ascii="Calibri" w:hAnsi="Calibri" w:cs="Calibri"/>
          <w:sz w:val="22"/>
          <w:szCs w:val="22"/>
        </w:rPr>
        <w:t xml:space="preserve"> due tagli), </w:t>
      </w:r>
      <w:r w:rsidR="00146067" w:rsidRPr="00E07999">
        <w:rPr>
          <w:rFonts w:ascii="Calibri" w:hAnsi="Calibri" w:cs="Calibri"/>
          <w:b/>
          <w:bCs/>
          <w:sz w:val="22"/>
          <w:szCs w:val="22"/>
        </w:rPr>
        <w:t xml:space="preserve">cosa che i </w:t>
      </w:r>
      <w:r w:rsidRPr="00E07999">
        <w:rPr>
          <w:rFonts w:ascii="Calibri" w:hAnsi="Calibri" w:cs="Calibri"/>
          <w:b/>
          <w:bCs/>
          <w:sz w:val="22"/>
          <w:szCs w:val="22"/>
        </w:rPr>
        <w:t xml:space="preserve">Treasury </w:t>
      </w:r>
      <w:r w:rsidR="00146067" w:rsidRPr="00E07999">
        <w:rPr>
          <w:rFonts w:ascii="Calibri" w:hAnsi="Calibri" w:cs="Calibri"/>
          <w:b/>
          <w:bCs/>
          <w:sz w:val="22"/>
          <w:szCs w:val="22"/>
        </w:rPr>
        <w:t>stanno</w:t>
      </w:r>
      <w:r w:rsidRPr="00E07999">
        <w:rPr>
          <w:rFonts w:ascii="Calibri" w:hAnsi="Calibri" w:cs="Calibri"/>
          <w:b/>
          <w:bCs/>
          <w:sz w:val="22"/>
          <w:szCs w:val="22"/>
        </w:rPr>
        <w:t xml:space="preserve"> ampiamente </w:t>
      </w:r>
      <w:r w:rsidR="00146067" w:rsidRPr="00E07999">
        <w:rPr>
          <w:rFonts w:ascii="Calibri" w:hAnsi="Calibri" w:cs="Calibri"/>
          <w:b/>
          <w:bCs/>
          <w:sz w:val="22"/>
          <w:szCs w:val="22"/>
        </w:rPr>
        <w:t>prezzando</w:t>
      </w:r>
      <w:r w:rsidRPr="009908B3">
        <w:rPr>
          <w:rFonts w:ascii="Calibri" w:hAnsi="Calibri" w:cs="Calibri"/>
          <w:sz w:val="22"/>
          <w:szCs w:val="22"/>
        </w:rPr>
        <w:t>.</w:t>
      </w:r>
    </w:p>
    <w:p w14:paraId="61F82F73" w14:textId="77777777" w:rsidR="009908B3" w:rsidRPr="009908B3" w:rsidRDefault="009908B3" w:rsidP="00851317">
      <w:pPr>
        <w:pStyle w:val="Default"/>
        <w:rPr>
          <w:rFonts w:ascii="Calibri" w:hAnsi="Calibri" w:cs="Calibri"/>
          <w:sz w:val="22"/>
          <w:szCs w:val="22"/>
        </w:rPr>
      </w:pPr>
    </w:p>
    <w:p w14:paraId="1A5CB107" w14:textId="01711D1D" w:rsidR="00146067" w:rsidRPr="00146067" w:rsidRDefault="00146067" w:rsidP="00851317">
      <w:pPr>
        <w:pStyle w:val="Default"/>
        <w:rPr>
          <w:rFonts w:ascii="Calibri" w:hAnsi="Calibri" w:cs="Calibri"/>
          <w:sz w:val="22"/>
          <w:szCs w:val="22"/>
        </w:rPr>
      </w:pPr>
      <w:r w:rsidRPr="00146067">
        <w:rPr>
          <w:rFonts w:ascii="Calibri" w:hAnsi="Calibri" w:cs="Calibri"/>
          <w:sz w:val="22"/>
          <w:szCs w:val="22"/>
        </w:rPr>
        <w:t xml:space="preserve">Andando un po' controcorrente, </w:t>
      </w:r>
      <w:r w:rsidRPr="00E07999">
        <w:rPr>
          <w:rFonts w:ascii="Calibri" w:hAnsi="Calibri" w:cs="Calibri"/>
          <w:b/>
          <w:bCs/>
          <w:sz w:val="22"/>
          <w:szCs w:val="22"/>
        </w:rPr>
        <w:t>la Bank of Canada ha ridotto i tassi nella riunione di giugno</w:t>
      </w:r>
      <w:r w:rsidRPr="00146067">
        <w:rPr>
          <w:rFonts w:ascii="Calibri" w:hAnsi="Calibri" w:cs="Calibri"/>
          <w:sz w:val="22"/>
          <w:szCs w:val="22"/>
        </w:rPr>
        <w:t xml:space="preserve"> </w:t>
      </w:r>
      <w:r w:rsidRPr="00E07999">
        <w:rPr>
          <w:rFonts w:ascii="Calibri" w:hAnsi="Calibri" w:cs="Calibri"/>
          <w:b/>
          <w:bCs/>
          <w:sz w:val="22"/>
          <w:szCs w:val="22"/>
        </w:rPr>
        <w:t xml:space="preserve">e la dichiarazione di accompagnamento è stata più da colomba rispetto a quanto previsto sia dal mercato </w:t>
      </w:r>
      <w:r w:rsidR="00624C10">
        <w:rPr>
          <w:rFonts w:ascii="Calibri" w:hAnsi="Calibri" w:cs="Calibri"/>
          <w:b/>
          <w:bCs/>
          <w:sz w:val="22"/>
          <w:szCs w:val="22"/>
        </w:rPr>
        <w:t>sia</w:t>
      </w:r>
      <w:r w:rsidR="00624C10" w:rsidRPr="00E079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07999">
        <w:rPr>
          <w:rFonts w:ascii="Calibri" w:hAnsi="Calibri" w:cs="Calibri"/>
          <w:b/>
          <w:bCs/>
          <w:sz w:val="22"/>
          <w:szCs w:val="22"/>
        </w:rPr>
        <w:t>da noi</w:t>
      </w:r>
      <w:r w:rsidRPr="00146067">
        <w:rPr>
          <w:rFonts w:ascii="Calibri" w:hAnsi="Calibri" w:cs="Calibri"/>
          <w:sz w:val="22"/>
          <w:szCs w:val="22"/>
        </w:rPr>
        <w:t xml:space="preserve">. I dati economici canadesi sono stati indubbiamente deboli rispetto a quelli statunitensi, </w:t>
      </w:r>
      <w:r>
        <w:rPr>
          <w:rFonts w:ascii="Calibri" w:hAnsi="Calibri" w:cs="Calibri"/>
          <w:sz w:val="22"/>
          <w:szCs w:val="22"/>
        </w:rPr>
        <w:t xml:space="preserve">come già riflesso nelle </w:t>
      </w:r>
      <w:r w:rsidRPr="00146067">
        <w:rPr>
          <w:rFonts w:ascii="Calibri" w:hAnsi="Calibri" w:cs="Calibri"/>
          <w:sz w:val="22"/>
          <w:szCs w:val="22"/>
        </w:rPr>
        <w:t>valutazioni di mercato.</w:t>
      </w:r>
    </w:p>
    <w:p w14:paraId="29E90D63" w14:textId="77777777" w:rsidR="00146067" w:rsidRPr="00146067" w:rsidRDefault="00146067" w:rsidP="00851317">
      <w:pPr>
        <w:pStyle w:val="Default"/>
        <w:rPr>
          <w:rFonts w:ascii="Calibri" w:hAnsi="Calibri" w:cs="Calibri"/>
          <w:sz w:val="22"/>
          <w:szCs w:val="22"/>
        </w:rPr>
      </w:pPr>
    </w:p>
    <w:p w14:paraId="71EC6CB6" w14:textId="3132C766" w:rsidR="00146067" w:rsidRPr="00146067" w:rsidRDefault="00146067" w:rsidP="00146067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146067">
        <w:rPr>
          <w:rFonts w:ascii="Calibri" w:hAnsi="Calibri" w:cs="Calibri"/>
          <w:sz w:val="22"/>
          <w:szCs w:val="22"/>
          <w:u w:val="single"/>
        </w:rPr>
        <w:t xml:space="preserve">Chi va piano va sano e va lontano? </w:t>
      </w:r>
    </w:p>
    <w:p w14:paraId="2F332F8D" w14:textId="60AED5B3" w:rsidR="00146067" w:rsidRPr="00146067" w:rsidRDefault="00146067" w:rsidP="00146067">
      <w:pPr>
        <w:pStyle w:val="Default"/>
        <w:rPr>
          <w:rFonts w:ascii="Calibri" w:hAnsi="Calibri" w:cs="Calibri"/>
          <w:sz w:val="22"/>
          <w:szCs w:val="22"/>
        </w:rPr>
      </w:pPr>
      <w:r w:rsidRPr="00E07999">
        <w:rPr>
          <w:rFonts w:ascii="Calibri" w:hAnsi="Calibri" w:cs="Calibri"/>
          <w:b/>
          <w:bCs/>
          <w:sz w:val="22"/>
          <w:szCs w:val="22"/>
        </w:rPr>
        <w:t>Cosa ci ha spinto ad aumentare ulteriormente le probabilità di un "atterraggio morbido"? L'evidenza di un graduale progresso della disinflazione</w:t>
      </w:r>
      <w:r w:rsidRPr="00146067">
        <w:rPr>
          <w:rFonts w:ascii="Calibri" w:hAnsi="Calibri" w:cs="Calibri"/>
          <w:sz w:val="22"/>
          <w:szCs w:val="22"/>
        </w:rPr>
        <w:t>. Sebbene consideriamo tutta una serie di indicatori economici, pochi sono importanti come l'andamento dell'inflazione negli Stati Uniti. In fin dei conti, una bassa inflazione è la via maestra per un "atterraggio morbido", in quanto lascia spazio alla Fed per allentare la politica. Il rapporto CPI di maggio non ha deluso le aspettative.</w:t>
      </w:r>
    </w:p>
    <w:p w14:paraId="6A3C9FD4" w14:textId="77777777" w:rsidR="00146067" w:rsidRPr="00146067" w:rsidRDefault="00146067" w:rsidP="00851317">
      <w:pPr>
        <w:pStyle w:val="Default"/>
        <w:rPr>
          <w:rFonts w:ascii="Calibri" w:hAnsi="Calibri" w:cs="Calibri"/>
          <w:sz w:val="22"/>
          <w:szCs w:val="22"/>
        </w:rPr>
      </w:pPr>
    </w:p>
    <w:p w14:paraId="466EAF3F" w14:textId="1D0E3590" w:rsidR="00146067" w:rsidRPr="00146067" w:rsidRDefault="00146067" w:rsidP="00851317">
      <w:pPr>
        <w:pStyle w:val="Default"/>
        <w:rPr>
          <w:rFonts w:ascii="Calibri" w:hAnsi="Calibri" w:cs="Calibri"/>
          <w:sz w:val="22"/>
          <w:szCs w:val="22"/>
        </w:rPr>
      </w:pPr>
      <w:r w:rsidRPr="00146067">
        <w:rPr>
          <w:rFonts w:ascii="Calibri" w:hAnsi="Calibri" w:cs="Calibri"/>
          <w:sz w:val="22"/>
          <w:szCs w:val="22"/>
        </w:rPr>
        <w:t xml:space="preserve">Sebbene l'inflazione </w:t>
      </w:r>
      <w:r>
        <w:rPr>
          <w:rFonts w:ascii="Calibri" w:hAnsi="Calibri" w:cs="Calibri"/>
          <w:sz w:val="22"/>
          <w:szCs w:val="22"/>
        </w:rPr>
        <w:t>shelter</w:t>
      </w:r>
      <w:r w:rsidRPr="00146067">
        <w:rPr>
          <w:rFonts w:ascii="Calibri" w:hAnsi="Calibri" w:cs="Calibri"/>
          <w:sz w:val="22"/>
          <w:szCs w:val="22"/>
        </w:rPr>
        <w:t xml:space="preserve"> si stia dimostrando ostinata, l'inflazione dei servizi core </w:t>
      </w:r>
      <w:r>
        <w:rPr>
          <w:rFonts w:ascii="Calibri" w:hAnsi="Calibri" w:cs="Calibri"/>
          <w:sz w:val="22"/>
          <w:szCs w:val="22"/>
        </w:rPr>
        <w:t xml:space="preserve">ex shelter </w:t>
      </w:r>
      <w:r w:rsidRPr="00146067">
        <w:rPr>
          <w:rFonts w:ascii="Calibri" w:hAnsi="Calibri" w:cs="Calibri"/>
          <w:sz w:val="22"/>
          <w:szCs w:val="22"/>
        </w:rPr>
        <w:t xml:space="preserve">(la cosiddetta misura super-core) ha mostrato un progresso significativo nel corso del mese, essendo effettivamente scesa in termini mensili. Per essere chiari, non ci aspettiamo che questo impressionante ritmo di disinflazione continui, ma </w:t>
      </w:r>
      <w:r>
        <w:rPr>
          <w:rFonts w:ascii="Calibri" w:hAnsi="Calibri" w:cs="Calibri"/>
          <w:sz w:val="22"/>
          <w:szCs w:val="22"/>
        </w:rPr>
        <w:t xml:space="preserve">ciò </w:t>
      </w:r>
      <w:r w:rsidRPr="00146067">
        <w:rPr>
          <w:rFonts w:ascii="Calibri" w:hAnsi="Calibri" w:cs="Calibri"/>
          <w:sz w:val="22"/>
          <w:szCs w:val="22"/>
        </w:rPr>
        <w:t xml:space="preserve">ha fatto sì che il tasso annualizzato a tre mesi scendesse significativamente al 4,2%. </w:t>
      </w:r>
      <w:r w:rsidRPr="00146067">
        <w:rPr>
          <w:rFonts w:ascii="Calibri" w:hAnsi="Calibri" w:cs="Calibri"/>
          <w:sz w:val="22"/>
          <w:szCs w:val="22"/>
        </w:rPr>
        <w:lastRenderedPageBreak/>
        <w:t xml:space="preserve">Naturalmente, </w:t>
      </w:r>
      <w:r w:rsidRPr="00E07999">
        <w:rPr>
          <w:rFonts w:ascii="Calibri" w:hAnsi="Calibri" w:cs="Calibri"/>
          <w:b/>
          <w:bCs/>
          <w:sz w:val="22"/>
          <w:szCs w:val="22"/>
        </w:rPr>
        <w:t>anche se questo tasso d'inflazione rimane superiore a quello che la Fed vorrebbe, la direzione di marcia è degna di nota</w:t>
      </w:r>
      <w:r w:rsidRPr="00146067">
        <w:rPr>
          <w:rFonts w:ascii="Calibri" w:hAnsi="Calibri" w:cs="Calibri"/>
          <w:sz w:val="22"/>
          <w:szCs w:val="22"/>
        </w:rPr>
        <w:t>.</w:t>
      </w:r>
    </w:p>
    <w:p w14:paraId="5857A339" w14:textId="77777777" w:rsidR="00146067" w:rsidRPr="00146067" w:rsidRDefault="00146067" w:rsidP="00851317">
      <w:pPr>
        <w:pStyle w:val="Default"/>
        <w:rPr>
          <w:rFonts w:ascii="Calibri" w:hAnsi="Calibri" w:cs="Calibri"/>
          <w:sz w:val="22"/>
          <w:szCs w:val="22"/>
        </w:rPr>
      </w:pPr>
    </w:p>
    <w:p w14:paraId="65CD7AEA" w14:textId="07E8046F" w:rsidR="00146067" w:rsidRPr="00146067" w:rsidRDefault="00146067" w:rsidP="00851317">
      <w:pPr>
        <w:pStyle w:val="Default"/>
        <w:rPr>
          <w:rFonts w:ascii="Calibri" w:hAnsi="Calibri" w:cs="Calibri"/>
          <w:sz w:val="22"/>
          <w:szCs w:val="22"/>
        </w:rPr>
      </w:pPr>
      <w:r w:rsidRPr="00146067">
        <w:rPr>
          <w:rFonts w:ascii="Calibri" w:hAnsi="Calibri" w:cs="Calibri"/>
          <w:sz w:val="22"/>
          <w:szCs w:val="22"/>
        </w:rPr>
        <w:t xml:space="preserve">Al contrario, </w:t>
      </w:r>
      <w:r w:rsidRPr="00E07999">
        <w:rPr>
          <w:rFonts w:ascii="Calibri" w:hAnsi="Calibri" w:cs="Calibri"/>
          <w:b/>
          <w:bCs/>
          <w:sz w:val="22"/>
          <w:szCs w:val="22"/>
        </w:rPr>
        <w:t>l'inflazione del Regno Unito continua a distinguersi come un'eccezione</w:t>
      </w:r>
      <w:r w:rsidRPr="00146067">
        <w:rPr>
          <w:rFonts w:ascii="Calibri" w:hAnsi="Calibri" w:cs="Calibri"/>
          <w:sz w:val="22"/>
          <w:szCs w:val="22"/>
        </w:rPr>
        <w:t xml:space="preserve">, con l'inflazione dei servizi che è scesa solo leggermente al 5,9% su base annua </w:t>
      </w:r>
      <w:r>
        <w:rPr>
          <w:rFonts w:ascii="Calibri" w:hAnsi="Calibri" w:cs="Calibri"/>
          <w:sz w:val="22"/>
          <w:szCs w:val="22"/>
        </w:rPr>
        <w:t>ad</w:t>
      </w:r>
      <w:r w:rsidRPr="00146067">
        <w:rPr>
          <w:rFonts w:ascii="Calibri" w:hAnsi="Calibri" w:cs="Calibri"/>
          <w:sz w:val="22"/>
          <w:szCs w:val="22"/>
        </w:rPr>
        <w:t xml:space="preserve"> aprile. </w:t>
      </w:r>
      <w:r w:rsidR="004B4918">
        <w:rPr>
          <w:rFonts w:ascii="Calibri" w:hAnsi="Calibri" w:cs="Calibri"/>
          <w:sz w:val="22"/>
          <w:szCs w:val="22"/>
        </w:rPr>
        <w:t>Q</w:t>
      </w:r>
      <w:r w:rsidRPr="00146067">
        <w:rPr>
          <w:rFonts w:ascii="Calibri" w:hAnsi="Calibri" w:cs="Calibri"/>
          <w:sz w:val="22"/>
          <w:szCs w:val="22"/>
        </w:rPr>
        <w:t xml:space="preserve">uesto dato delude la Bank of </w:t>
      </w:r>
      <w:proofErr w:type="spellStart"/>
      <w:r w:rsidRPr="00146067">
        <w:rPr>
          <w:rFonts w:ascii="Calibri" w:hAnsi="Calibri" w:cs="Calibri"/>
          <w:sz w:val="22"/>
          <w:szCs w:val="22"/>
        </w:rPr>
        <w:t>England</w:t>
      </w:r>
      <w:proofErr w:type="spellEnd"/>
      <w:r w:rsidRPr="0014606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146067">
        <w:rPr>
          <w:rFonts w:ascii="Calibri" w:hAnsi="Calibri" w:cs="Calibri"/>
          <w:sz w:val="22"/>
          <w:szCs w:val="22"/>
        </w:rPr>
        <w:t>BoE</w:t>
      </w:r>
      <w:proofErr w:type="spellEnd"/>
      <w:r w:rsidRPr="00146067">
        <w:rPr>
          <w:rFonts w:ascii="Calibri" w:hAnsi="Calibri" w:cs="Calibri"/>
          <w:sz w:val="22"/>
          <w:szCs w:val="22"/>
        </w:rPr>
        <w:t xml:space="preserve">) e </w:t>
      </w:r>
      <w:r w:rsidRPr="00E07999">
        <w:rPr>
          <w:rFonts w:ascii="Calibri" w:hAnsi="Calibri" w:cs="Calibri"/>
          <w:b/>
          <w:bCs/>
          <w:sz w:val="22"/>
          <w:szCs w:val="22"/>
        </w:rPr>
        <w:t xml:space="preserve">pone maggiore enfasi sui prossimi due dati sull'inflazione in uscita prima della riunione della </w:t>
      </w:r>
      <w:proofErr w:type="spellStart"/>
      <w:r w:rsidRPr="00E07999">
        <w:rPr>
          <w:rFonts w:ascii="Calibri" w:hAnsi="Calibri" w:cs="Calibri"/>
          <w:b/>
          <w:bCs/>
          <w:sz w:val="22"/>
          <w:szCs w:val="22"/>
        </w:rPr>
        <w:t>BoE</w:t>
      </w:r>
      <w:proofErr w:type="spellEnd"/>
      <w:r w:rsidRPr="00E07999">
        <w:rPr>
          <w:rFonts w:ascii="Calibri" w:hAnsi="Calibri" w:cs="Calibri"/>
          <w:b/>
          <w:bCs/>
          <w:sz w:val="22"/>
          <w:szCs w:val="22"/>
        </w:rPr>
        <w:t xml:space="preserve"> di agosto.</w:t>
      </w:r>
      <w:r w:rsidRPr="00146067">
        <w:rPr>
          <w:rFonts w:ascii="Calibri" w:hAnsi="Calibri" w:cs="Calibri"/>
          <w:sz w:val="22"/>
          <w:szCs w:val="22"/>
        </w:rPr>
        <w:t xml:space="preserve"> Gli indicatori anticipatori suggeriscono un allentamento delle pressioni sui prezzi nel Regno Unito nei prossimi mesi, anche se il processo sta richiedendo più tempo del previsto.</w:t>
      </w:r>
    </w:p>
    <w:p w14:paraId="27ADFE59" w14:textId="407DF379" w:rsidR="00146067" w:rsidRPr="00E07999" w:rsidRDefault="00146067" w:rsidP="0085131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146067">
        <w:rPr>
          <w:rFonts w:ascii="Calibri" w:hAnsi="Calibri" w:cs="Calibri"/>
          <w:sz w:val="22"/>
          <w:szCs w:val="22"/>
        </w:rPr>
        <w:t xml:space="preserve">Infine, come accennato in precedenza, </w:t>
      </w:r>
      <w:r w:rsidRPr="00A54F5C">
        <w:rPr>
          <w:rFonts w:ascii="Calibri" w:hAnsi="Calibri" w:cs="Calibri"/>
          <w:sz w:val="22"/>
          <w:szCs w:val="22"/>
        </w:rPr>
        <w:t>l'incapacità dell'inflazione dei servizi dell'Eurozona di scendere in modo duraturo al di sotto del 4%</w:t>
      </w:r>
      <w:r w:rsidRPr="00146067">
        <w:rPr>
          <w:rFonts w:ascii="Calibri" w:hAnsi="Calibri" w:cs="Calibri"/>
          <w:sz w:val="22"/>
          <w:szCs w:val="22"/>
        </w:rPr>
        <w:t xml:space="preserve"> - </w:t>
      </w:r>
      <w:r w:rsidR="00A54F5C">
        <w:rPr>
          <w:rFonts w:ascii="Calibri" w:hAnsi="Calibri" w:cs="Calibri"/>
          <w:sz w:val="22"/>
          <w:szCs w:val="22"/>
        </w:rPr>
        <w:t xml:space="preserve">a maggio </w:t>
      </w:r>
      <w:r w:rsidRPr="00146067">
        <w:rPr>
          <w:rFonts w:ascii="Calibri" w:hAnsi="Calibri" w:cs="Calibri"/>
          <w:sz w:val="22"/>
          <w:szCs w:val="22"/>
        </w:rPr>
        <w:t xml:space="preserve">al 4,1% su base annua - </w:t>
      </w:r>
      <w:r w:rsidRPr="00A54F5C">
        <w:rPr>
          <w:rFonts w:ascii="Calibri" w:hAnsi="Calibri" w:cs="Calibri"/>
          <w:sz w:val="22"/>
          <w:szCs w:val="22"/>
        </w:rPr>
        <w:t>rimarrà un argomento a favore di un ritmo solo graduale di tagli dei tassi.</w:t>
      </w:r>
      <w:r w:rsidRPr="00E07999">
        <w:rPr>
          <w:rFonts w:ascii="Calibri" w:hAnsi="Calibri" w:cs="Calibri"/>
          <w:b/>
          <w:bCs/>
          <w:sz w:val="22"/>
          <w:szCs w:val="22"/>
        </w:rPr>
        <w:t xml:space="preserve"> Ci aspettiamo due ulteriori tagli quest'anno dalla Bce.</w:t>
      </w:r>
    </w:p>
    <w:p w14:paraId="7010BEBF" w14:textId="77777777" w:rsidR="00146067" w:rsidRPr="00146067" w:rsidRDefault="00146067" w:rsidP="00851317">
      <w:pPr>
        <w:pStyle w:val="Default"/>
        <w:rPr>
          <w:rFonts w:ascii="Calibri" w:hAnsi="Calibri" w:cs="Calibri"/>
          <w:sz w:val="22"/>
          <w:szCs w:val="22"/>
        </w:rPr>
      </w:pPr>
    </w:p>
    <w:p w14:paraId="7866DE9D" w14:textId="7B821300" w:rsidR="00146067" w:rsidRPr="00146067" w:rsidRDefault="00146067" w:rsidP="00146067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146067">
        <w:rPr>
          <w:rFonts w:ascii="Calibri" w:hAnsi="Calibri" w:cs="Calibri"/>
          <w:sz w:val="22"/>
          <w:szCs w:val="22"/>
          <w:u w:val="single"/>
        </w:rPr>
        <w:t>"L'esperienza della democrazia è come l'esperienza della vita stessa: sempre in cambiamento"</w:t>
      </w:r>
    </w:p>
    <w:p w14:paraId="52760369" w14:textId="6E4F6DEB" w:rsidR="00146067" w:rsidRPr="00146067" w:rsidRDefault="00146067" w:rsidP="0014606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Dato che</w:t>
      </w:r>
      <w:r w:rsidRPr="00146067">
        <w:rPr>
          <w:rFonts w:ascii="Calibri" w:hAnsi="Calibri" w:cs="Calibri"/>
          <w:sz w:val="22"/>
          <w:szCs w:val="22"/>
        </w:rPr>
        <w:t xml:space="preserve"> il 2024 sarà un anno record per il numero di cittadini che si recheranno alle urne</w:t>
      </w:r>
      <w:r w:rsidR="00A54F5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c’è</w:t>
      </w:r>
      <w:r w:rsidRPr="00146067">
        <w:rPr>
          <w:rFonts w:ascii="Calibri" w:hAnsi="Calibri" w:cs="Calibri"/>
          <w:sz w:val="22"/>
          <w:szCs w:val="22"/>
        </w:rPr>
        <w:t xml:space="preserve"> sempre </w:t>
      </w:r>
      <w:r>
        <w:rPr>
          <w:rFonts w:ascii="Calibri" w:hAnsi="Calibri" w:cs="Calibri"/>
          <w:sz w:val="22"/>
          <w:szCs w:val="22"/>
        </w:rPr>
        <w:t xml:space="preserve">stata </w:t>
      </w:r>
      <w:r w:rsidRPr="00146067">
        <w:rPr>
          <w:rFonts w:ascii="Calibri" w:hAnsi="Calibri" w:cs="Calibri"/>
          <w:sz w:val="22"/>
          <w:szCs w:val="22"/>
        </w:rPr>
        <w:t xml:space="preserve">la possibilità di una certa instabilità politica. Tuttavia, </w:t>
      </w:r>
      <w:r>
        <w:rPr>
          <w:rFonts w:ascii="Calibri" w:hAnsi="Calibri" w:cs="Calibri"/>
          <w:sz w:val="22"/>
          <w:szCs w:val="22"/>
        </w:rPr>
        <w:t>niente</w:t>
      </w:r>
      <w:r w:rsidRPr="00146067">
        <w:rPr>
          <w:rFonts w:ascii="Calibri" w:hAnsi="Calibri" w:cs="Calibri"/>
          <w:sz w:val="22"/>
          <w:szCs w:val="22"/>
        </w:rPr>
        <w:t xml:space="preserve"> avrebbe preparato gli investitori a</w:t>
      </w:r>
      <w:r>
        <w:rPr>
          <w:rFonts w:ascii="Calibri" w:hAnsi="Calibri" w:cs="Calibri"/>
          <w:sz w:val="22"/>
          <w:szCs w:val="22"/>
        </w:rPr>
        <w:t xml:space="preserve"> </w:t>
      </w:r>
      <w:r w:rsidR="005D04D2">
        <w:rPr>
          <w:rFonts w:ascii="Calibri" w:hAnsi="Calibri" w:cs="Calibri"/>
          <w:sz w:val="22"/>
          <w:szCs w:val="22"/>
        </w:rPr>
        <w:t>un tale</w:t>
      </w:r>
      <w:r w:rsidRPr="00146067">
        <w:rPr>
          <w:rFonts w:ascii="Calibri" w:hAnsi="Calibri" w:cs="Calibri"/>
          <w:sz w:val="22"/>
          <w:szCs w:val="22"/>
        </w:rPr>
        <w:t xml:space="preserve"> numero di sorprese in </w:t>
      </w:r>
      <w:r>
        <w:rPr>
          <w:rFonts w:ascii="Calibri" w:hAnsi="Calibri" w:cs="Calibri"/>
          <w:sz w:val="22"/>
          <w:szCs w:val="22"/>
        </w:rPr>
        <w:t>un periodo così</w:t>
      </w:r>
      <w:r w:rsidRPr="00146067">
        <w:rPr>
          <w:rFonts w:ascii="Calibri" w:hAnsi="Calibri" w:cs="Calibri"/>
          <w:sz w:val="22"/>
          <w:szCs w:val="22"/>
        </w:rPr>
        <w:t xml:space="preserve"> breve.</w:t>
      </w:r>
    </w:p>
    <w:p w14:paraId="788D0736" w14:textId="34E8E528" w:rsidR="005D04D2" w:rsidRDefault="00624C10" w:rsidP="0085131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Sul fronte de</w:t>
      </w:r>
      <w:r w:rsidR="005D04D2" w:rsidRPr="005D04D2">
        <w:rPr>
          <w:rFonts w:ascii="Calibri" w:hAnsi="Calibri" w:cs="Calibri"/>
          <w:sz w:val="22"/>
          <w:szCs w:val="22"/>
        </w:rPr>
        <w:t xml:space="preserve">i mercati emergenti, </w:t>
      </w:r>
      <w:r w:rsidR="005D04D2" w:rsidRPr="00E07999">
        <w:rPr>
          <w:rFonts w:ascii="Calibri" w:hAnsi="Calibri" w:cs="Calibri"/>
          <w:b/>
          <w:bCs/>
          <w:sz w:val="22"/>
          <w:szCs w:val="22"/>
        </w:rPr>
        <w:t>Sudafrica, India e Messico hanno riservato delle sorprese per quanto riguarda il margine di vittoria, o la sua mancanza</w:t>
      </w:r>
      <w:r w:rsidR="005D04D2" w:rsidRPr="005D04D2">
        <w:rPr>
          <w:rFonts w:ascii="Calibri" w:hAnsi="Calibri" w:cs="Calibri"/>
          <w:sz w:val="22"/>
          <w:szCs w:val="22"/>
        </w:rPr>
        <w:t>. In alcuni casi, questi avvenimenti hanno turbato i mercati in un contesto tipicamente costruttivo per i cosiddetti "</w:t>
      </w:r>
      <w:proofErr w:type="spellStart"/>
      <w:r w:rsidR="005D04D2" w:rsidRPr="005D04D2">
        <w:rPr>
          <w:rFonts w:ascii="Calibri" w:hAnsi="Calibri" w:cs="Calibri"/>
          <w:sz w:val="22"/>
          <w:szCs w:val="22"/>
        </w:rPr>
        <w:t>carry</w:t>
      </w:r>
      <w:proofErr w:type="spellEnd"/>
      <w:r w:rsidR="005D04D2" w:rsidRPr="005D04D2">
        <w:rPr>
          <w:rFonts w:ascii="Calibri" w:hAnsi="Calibri" w:cs="Calibri"/>
          <w:sz w:val="22"/>
          <w:szCs w:val="22"/>
        </w:rPr>
        <w:t xml:space="preserve"> trade", ossia una crescita relativamente </w:t>
      </w:r>
      <w:r w:rsidR="005D04D2">
        <w:rPr>
          <w:rFonts w:ascii="Calibri" w:hAnsi="Calibri" w:cs="Calibri"/>
          <w:sz w:val="22"/>
          <w:szCs w:val="22"/>
        </w:rPr>
        <w:t>solida</w:t>
      </w:r>
      <w:r w:rsidR="005D04D2" w:rsidRPr="005D04D2">
        <w:rPr>
          <w:rFonts w:ascii="Calibri" w:hAnsi="Calibri" w:cs="Calibri"/>
          <w:sz w:val="22"/>
          <w:szCs w:val="22"/>
        </w:rPr>
        <w:t xml:space="preserve"> e prospettiv</w:t>
      </w:r>
      <w:r w:rsidR="005D04D2">
        <w:rPr>
          <w:rFonts w:ascii="Calibri" w:hAnsi="Calibri" w:cs="Calibri"/>
          <w:sz w:val="22"/>
          <w:szCs w:val="22"/>
        </w:rPr>
        <w:t>e</w:t>
      </w:r>
      <w:r w:rsidR="005D04D2" w:rsidRPr="005D04D2">
        <w:rPr>
          <w:rFonts w:ascii="Calibri" w:hAnsi="Calibri" w:cs="Calibri"/>
          <w:sz w:val="22"/>
          <w:szCs w:val="22"/>
        </w:rPr>
        <w:t xml:space="preserve"> </w:t>
      </w:r>
      <w:r w:rsidR="005D04D2">
        <w:rPr>
          <w:rFonts w:ascii="Calibri" w:hAnsi="Calibri" w:cs="Calibri"/>
          <w:sz w:val="22"/>
          <w:szCs w:val="22"/>
        </w:rPr>
        <w:t>positive</w:t>
      </w:r>
      <w:r w:rsidR="005D04D2" w:rsidRPr="005D04D2">
        <w:rPr>
          <w:rFonts w:ascii="Calibri" w:hAnsi="Calibri" w:cs="Calibri"/>
          <w:sz w:val="22"/>
          <w:szCs w:val="22"/>
        </w:rPr>
        <w:t xml:space="preserve"> </w:t>
      </w:r>
      <w:r w:rsidR="005D04D2">
        <w:rPr>
          <w:rFonts w:ascii="Calibri" w:hAnsi="Calibri" w:cs="Calibri"/>
          <w:sz w:val="22"/>
          <w:szCs w:val="22"/>
        </w:rPr>
        <w:t>per la</w:t>
      </w:r>
      <w:r w:rsidR="005D04D2" w:rsidRPr="005D04D2">
        <w:rPr>
          <w:rFonts w:ascii="Calibri" w:hAnsi="Calibri" w:cs="Calibri"/>
          <w:sz w:val="22"/>
          <w:szCs w:val="22"/>
        </w:rPr>
        <w:t xml:space="preserve"> Fed.</w:t>
      </w:r>
    </w:p>
    <w:p w14:paraId="2572A16B" w14:textId="77777777" w:rsidR="00A54F5C" w:rsidRPr="005D04D2" w:rsidRDefault="00A54F5C" w:rsidP="00851317">
      <w:pPr>
        <w:pStyle w:val="Default"/>
        <w:rPr>
          <w:rFonts w:ascii="Calibri" w:hAnsi="Calibri" w:cs="Calibri"/>
          <w:sz w:val="22"/>
          <w:szCs w:val="22"/>
        </w:rPr>
      </w:pPr>
    </w:p>
    <w:p w14:paraId="57DDF1B1" w14:textId="6FE93CBE" w:rsidR="005D04D2" w:rsidRPr="005D04D2" w:rsidRDefault="005D04D2" w:rsidP="00851317">
      <w:pPr>
        <w:pStyle w:val="Default"/>
        <w:rPr>
          <w:rFonts w:ascii="Calibri" w:hAnsi="Calibri" w:cs="Calibri"/>
          <w:sz w:val="22"/>
          <w:szCs w:val="22"/>
        </w:rPr>
      </w:pPr>
      <w:r w:rsidRPr="005D04D2">
        <w:rPr>
          <w:rFonts w:ascii="Calibri" w:hAnsi="Calibri" w:cs="Calibri"/>
          <w:sz w:val="22"/>
          <w:szCs w:val="22"/>
        </w:rPr>
        <w:t xml:space="preserve">Nei mercati sviluppati, </w:t>
      </w:r>
      <w:r w:rsidRPr="00E07999">
        <w:rPr>
          <w:rFonts w:ascii="Calibri" w:hAnsi="Calibri" w:cs="Calibri"/>
          <w:b/>
          <w:bCs/>
          <w:sz w:val="22"/>
          <w:szCs w:val="22"/>
        </w:rPr>
        <w:t>le elezioni parlamentari europee hanno visto il centrosinistra mantenere la maggioranza, ma i partiti di estrema destra</w:t>
      </w:r>
      <w:r w:rsidRPr="005D04D2">
        <w:rPr>
          <w:rFonts w:ascii="Calibri" w:hAnsi="Calibri" w:cs="Calibri"/>
          <w:sz w:val="22"/>
          <w:szCs w:val="22"/>
        </w:rPr>
        <w:t>, come il National Rally (RN) in Francia e l'</w:t>
      </w:r>
      <w:proofErr w:type="spellStart"/>
      <w:r w:rsidRPr="005D04D2">
        <w:rPr>
          <w:rFonts w:ascii="Calibri" w:hAnsi="Calibri" w:cs="Calibri"/>
          <w:sz w:val="22"/>
          <w:szCs w:val="22"/>
        </w:rPr>
        <w:t>AfD</w:t>
      </w:r>
      <w:proofErr w:type="spellEnd"/>
      <w:r w:rsidRPr="005D04D2">
        <w:rPr>
          <w:rFonts w:ascii="Calibri" w:hAnsi="Calibri" w:cs="Calibri"/>
          <w:sz w:val="22"/>
          <w:szCs w:val="22"/>
        </w:rPr>
        <w:t xml:space="preserve"> in Germania, </w:t>
      </w:r>
      <w:r w:rsidRPr="00E07999">
        <w:rPr>
          <w:rFonts w:ascii="Calibri" w:hAnsi="Calibri" w:cs="Calibri"/>
          <w:b/>
          <w:bCs/>
          <w:sz w:val="22"/>
          <w:szCs w:val="22"/>
        </w:rPr>
        <w:t>hanno registrato notevoli guadagni</w:t>
      </w:r>
      <w:r w:rsidRPr="005D04D2">
        <w:rPr>
          <w:rFonts w:ascii="Calibri" w:hAnsi="Calibri" w:cs="Calibri"/>
          <w:sz w:val="22"/>
          <w:szCs w:val="22"/>
        </w:rPr>
        <w:t xml:space="preserve">. Questo ha spinto il presidente francese Macron a indire elezioni lampo, provocando un periodo di instabilità sui mercati europei. Con i sondaggi </w:t>
      </w:r>
      <w:r>
        <w:rPr>
          <w:rFonts w:ascii="Calibri" w:hAnsi="Calibri" w:cs="Calibri"/>
          <w:sz w:val="22"/>
          <w:szCs w:val="22"/>
        </w:rPr>
        <w:t>che favoriscono il</w:t>
      </w:r>
      <w:r w:rsidRPr="005D04D2">
        <w:rPr>
          <w:rFonts w:ascii="Calibri" w:hAnsi="Calibri" w:cs="Calibri"/>
          <w:sz w:val="22"/>
          <w:szCs w:val="22"/>
        </w:rPr>
        <w:t xml:space="preserve"> National Rally al primo turno, non possiamo escludere la probabilità di un cambiamento significativo nel panorama politico francese.</w:t>
      </w:r>
    </w:p>
    <w:p w14:paraId="70278640" w14:textId="691707F6" w:rsidR="005D04D2" w:rsidRPr="005D04D2" w:rsidRDefault="005D04D2" w:rsidP="00851317">
      <w:pPr>
        <w:spacing w:after="0" w:line="240" w:lineRule="auto"/>
        <w:rPr>
          <w:rFonts w:ascii="Calibri" w:hAnsi="Calibri" w:cs="Calibri"/>
        </w:rPr>
      </w:pPr>
      <w:r w:rsidRPr="00E07999">
        <w:rPr>
          <w:rFonts w:ascii="Calibri" w:hAnsi="Calibri" w:cs="Calibri"/>
          <w:b/>
          <w:bCs/>
        </w:rPr>
        <w:t>Già quest'anno la Francia è stata messa in discussione dal mercato per la mancanza di consolidamento fiscale post-Covid, soprattutto rispetto a Spagna e Italia</w:t>
      </w:r>
      <w:r w:rsidRPr="005D04D2">
        <w:rPr>
          <w:rFonts w:ascii="Calibri" w:hAnsi="Calibri" w:cs="Calibri"/>
        </w:rPr>
        <w:t>. Ciò è stato ulteriormente dimostrato dal declassamento del debito francese da parte di S&amp;P a</w:t>
      </w:r>
      <w:r w:rsidR="00EA2C52">
        <w:rPr>
          <w:rFonts w:ascii="Calibri" w:hAnsi="Calibri" w:cs="Calibri"/>
        </w:rPr>
        <w:t>d</w:t>
      </w:r>
      <w:r w:rsidRPr="005D04D2">
        <w:rPr>
          <w:rFonts w:ascii="Calibri" w:hAnsi="Calibri" w:cs="Calibri"/>
        </w:rPr>
        <w:t xml:space="preserve"> AA</w:t>
      </w:r>
      <w:r w:rsidR="00EA2C52">
        <w:rPr>
          <w:rFonts w:ascii="Calibri" w:hAnsi="Calibri" w:cs="Calibri"/>
        </w:rPr>
        <w:t xml:space="preserve">- a </w:t>
      </w:r>
      <w:r w:rsidRPr="005D04D2">
        <w:rPr>
          <w:rFonts w:ascii="Calibri" w:hAnsi="Calibri" w:cs="Calibri"/>
        </w:rPr>
        <w:t xml:space="preserve">maggio. Tuttavia, data la storica preferenza </w:t>
      </w:r>
      <w:r w:rsidR="00EA2C52">
        <w:rPr>
          <w:rFonts w:ascii="Calibri" w:hAnsi="Calibri" w:cs="Calibri"/>
        </w:rPr>
        <w:t>di</w:t>
      </w:r>
      <w:r w:rsidRPr="005D04D2">
        <w:rPr>
          <w:rFonts w:ascii="Calibri" w:hAnsi="Calibri" w:cs="Calibri"/>
        </w:rPr>
        <w:t xml:space="preserve"> RN per la spesa fiscale e la sua posizione scettica nei confronti dell'euro, è probabile che nel breve termine si verifichi un'ulteriore</w:t>
      </w:r>
      <w:r w:rsidR="00EA2C52">
        <w:rPr>
          <w:rFonts w:ascii="Calibri" w:hAnsi="Calibri" w:cs="Calibri"/>
        </w:rPr>
        <w:t xml:space="preserve"> fase di</w:t>
      </w:r>
      <w:r w:rsidRPr="005D04D2">
        <w:rPr>
          <w:rFonts w:ascii="Calibri" w:hAnsi="Calibri" w:cs="Calibri"/>
        </w:rPr>
        <w:t xml:space="preserve"> volatilità </w:t>
      </w:r>
      <w:r w:rsidR="00EA2C52">
        <w:rPr>
          <w:rFonts w:ascii="Calibri" w:hAnsi="Calibri" w:cs="Calibri"/>
        </w:rPr>
        <w:t>sul</w:t>
      </w:r>
      <w:r w:rsidRPr="005D04D2">
        <w:rPr>
          <w:rFonts w:ascii="Calibri" w:hAnsi="Calibri" w:cs="Calibri"/>
        </w:rPr>
        <w:t xml:space="preserve"> mercato, anche se l'obiettivo estremo della "</w:t>
      </w:r>
      <w:proofErr w:type="spellStart"/>
      <w:r w:rsidRPr="005D04D2">
        <w:rPr>
          <w:rFonts w:ascii="Calibri" w:hAnsi="Calibri" w:cs="Calibri"/>
        </w:rPr>
        <w:t>Frexit</w:t>
      </w:r>
      <w:proofErr w:type="spellEnd"/>
      <w:r w:rsidRPr="005D04D2">
        <w:rPr>
          <w:rFonts w:ascii="Calibri" w:hAnsi="Calibri" w:cs="Calibri"/>
        </w:rPr>
        <w:t xml:space="preserve">" sembra essere fuori discussione. Le Pen </w:t>
      </w:r>
      <w:proofErr w:type="gramStart"/>
      <w:r w:rsidRPr="005D04D2">
        <w:rPr>
          <w:rFonts w:ascii="Calibri" w:hAnsi="Calibri" w:cs="Calibri"/>
        </w:rPr>
        <w:t>potrebbe anche puntare</w:t>
      </w:r>
      <w:proofErr w:type="gramEnd"/>
      <w:r w:rsidRPr="005D04D2">
        <w:rPr>
          <w:rFonts w:ascii="Calibri" w:hAnsi="Calibri" w:cs="Calibri"/>
        </w:rPr>
        <w:t xml:space="preserve"> alla presidenza del 2027, il che potrebbe </w:t>
      </w:r>
      <w:r w:rsidR="00EA2C52">
        <w:rPr>
          <w:rFonts w:ascii="Calibri" w:hAnsi="Calibri" w:cs="Calibri"/>
        </w:rPr>
        <w:t>mitigare</w:t>
      </w:r>
      <w:r w:rsidRPr="005D04D2">
        <w:rPr>
          <w:rFonts w:ascii="Calibri" w:hAnsi="Calibri" w:cs="Calibri"/>
        </w:rPr>
        <w:t xml:space="preserve"> in qualche modo le sue idee politiche.</w:t>
      </w:r>
    </w:p>
    <w:p w14:paraId="7E77F688" w14:textId="77777777" w:rsidR="005D04D2" w:rsidRPr="005D04D2" w:rsidRDefault="005D04D2" w:rsidP="00851317">
      <w:pPr>
        <w:spacing w:after="0" w:line="240" w:lineRule="auto"/>
        <w:rPr>
          <w:rFonts w:ascii="Calibri" w:hAnsi="Calibri" w:cs="Calibri"/>
        </w:rPr>
      </w:pPr>
    </w:p>
    <w:p w14:paraId="17F761B2" w14:textId="1A6E5C8A" w:rsidR="00EA2C52" w:rsidRPr="00EA2C52" w:rsidRDefault="00EA2C52" w:rsidP="00EA2C52">
      <w:pPr>
        <w:pStyle w:val="Defaul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Le implicazioni per gli investimenti obbligazionari</w:t>
      </w:r>
    </w:p>
    <w:p w14:paraId="23CFD188" w14:textId="31BC1340" w:rsidR="00EA2C52" w:rsidRDefault="00EA2C52" w:rsidP="00851317">
      <w:pPr>
        <w:pStyle w:val="Default"/>
        <w:rPr>
          <w:rFonts w:ascii="Calibri" w:hAnsi="Calibri" w:cs="Calibri"/>
          <w:sz w:val="22"/>
          <w:szCs w:val="22"/>
        </w:rPr>
      </w:pPr>
      <w:r w:rsidRPr="00EA2C52">
        <w:rPr>
          <w:rFonts w:ascii="Calibri" w:hAnsi="Calibri" w:cs="Calibri"/>
          <w:sz w:val="22"/>
          <w:szCs w:val="22"/>
        </w:rPr>
        <w:t xml:space="preserve">Data </w:t>
      </w:r>
      <w:r>
        <w:rPr>
          <w:rFonts w:ascii="Calibri" w:hAnsi="Calibri" w:cs="Calibri"/>
          <w:sz w:val="22"/>
          <w:szCs w:val="22"/>
        </w:rPr>
        <w:t>l’</w:t>
      </w:r>
      <w:r w:rsidRPr="00EA2C52">
        <w:rPr>
          <w:rFonts w:ascii="Calibri" w:hAnsi="Calibri" w:cs="Calibri"/>
          <w:sz w:val="22"/>
          <w:szCs w:val="22"/>
        </w:rPr>
        <w:t>alta probabilità a</w:t>
      </w:r>
      <w:r>
        <w:rPr>
          <w:rFonts w:ascii="Calibri" w:hAnsi="Calibri" w:cs="Calibri"/>
          <w:sz w:val="22"/>
          <w:szCs w:val="22"/>
        </w:rPr>
        <w:t>ttribuita allo scenario di</w:t>
      </w:r>
      <w:r w:rsidRPr="00EA2C52">
        <w:rPr>
          <w:rFonts w:ascii="Calibri" w:hAnsi="Calibri" w:cs="Calibri"/>
          <w:sz w:val="22"/>
          <w:szCs w:val="22"/>
        </w:rPr>
        <w:t xml:space="preserve"> "atterraggio morbido", </w:t>
      </w:r>
      <w:r w:rsidRPr="00E07999">
        <w:rPr>
          <w:rFonts w:ascii="Calibri" w:hAnsi="Calibri" w:cs="Calibri"/>
          <w:b/>
          <w:bCs/>
          <w:sz w:val="22"/>
          <w:szCs w:val="22"/>
        </w:rPr>
        <w:t>riteniamo difficile che i mercati obbligazionari globali possano registrare un rally strutturale</w:t>
      </w:r>
      <w:r w:rsidRPr="00EA2C52">
        <w:rPr>
          <w:rFonts w:ascii="Calibri" w:hAnsi="Calibri" w:cs="Calibri"/>
          <w:sz w:val="22"/>
          <w:szCs w:val="22"/>
        </w:rPr>
        <w:t xml:space="preserve">, dato che i mercati </w:t>
      </w:r>
      <w:r>
        <w:rPr>
          <w:rFonts w:ascii="Calibri" w:hAnsi="Calibri" w:cs="Calibri"/>
          <w:sz w:val="22"/>
          <w:szCs w:val="22"/>
        </w:rPr>
        <w:t>stanno già adeguatamente prezzando</w:t>
      </w:r>
      <w:r w:rsidRPr="00EA2C52">
        <w:rPr>
          <w:rFonts w:ascii="Calibri" w:hAnsi="Calibri" w:cs="Calibri"/>
          <w:sz w:val="22"/>
          <w:szCs w:val="22"/>
        </w:rPr>
        <w:t xml:space="preserve"> questo risultato. Detto questo, se dovessimo assistere a un ritracciamento del rally dell'ultimo mese</w:t>
      </w:r>
      <w:r>
        <w:rPr>
          <w:rFonts w:ascii="Calibri" w:hAnsi="Calibri" w:cs="Calibri"/>
          <w:sz w:val="22"/>
          <w:szCs w:val="22"/>
        </w:rPr>
        <w:t>, favoriremmo la</w:t>
      </w:r>
      <w:r w:rsidRPr="00EA2C52">
        <w:rPr>
          <w:rFonts w:ascii="Calibri" w:hAnsi="Calibri" w:cs="Calibri"/>
          <w:sz w:val="22"/>
          <w:szCs w:val="22"/>
        </w:rPr>
        <w:t xml:space="preserve"> duration (o rischio di tasso d'interesse). Sebbene negli ultimi mesi abbiamo moderato il nostro entusiasmo per gli </w:t>
      </w:r>
      <w:proofErr w:type="spellStart"/>
      <w:r w:rsidRPr="00EA2C52">
        <w:rPr>
          <w:rFonts w:ascii="Calibri" w:hAnsi="Calibri" w:cs="Calibri"/>
          <w:sz w:val="22"/>
          <w:szCs w:val="22"/>
        </w:rPr>
        <w:t>steepeners</w:t>
      </w:r>
      <w:proofErr w:type="spellEnd"/>
      <w:r w:rsidRPr="00EA2C52">
        <w:rPr>
          <w:rFonts w:ascii="Calibri" w:hAnsi="Calibri" w:cs="Calibri"/>
          <w:sz w:val="22"/>
          <w:szCs w:val="22"/>
        </w:rPr>
        <w:t xml:space="preserve"> della curva, </w:t>
      </w:r>
      <w:r w:rsidRPr="00E07999">
        <w:rPr>
          <w:rFonts w:ascii="Calibri" w:hAnsi="Calibri" w:cs="Calibri"/>
          <w:b/>
          <w:bCs/>
          <w:sz w:val="22"/>
          <w:szCs w:val="22"/>
        </w:rPr>
        <w:t>riteniamo che sia ancora utile posizionarsi per curve più ripide su base tattica</w:t>
      </w:r>
      <w:r w:rsidRPr="00EA2C52">
        <w:rPr>
          <w:rFonts w:ascii="Calibri" w:hAnsi="Calibri" w:cs="Calibri"/>
          <w:sz w:val="22"/>
          <w:szCs w:val="22"/>
        </w:rPr>
        <w:t xml:space="preserve">. </w:t>
      </w:r>
    </w:p>
    <w:p w14:paraId="35C43EB9" w14:textId="77777777" w:rsidR="006E15B1" w:rsidRPr="00EA2C52" w:rsidRDefault="006E15B1" w:rsidP="00851317">
      <w:pPr>
        <w:pStyle w:val="Default"/>
        <w:rPr>
          <w:rFonts w:ascii="Calibri" w:hAnsi="Calibri" w:cs="Calibri"/>
          <w:sz w:val="22"/>
          <w:szCs w:val="22"/>
        </w:rPr>
      </w:pPr>
    </w:p>
    <w:p w14:paraId="725D26CB" w14:textId="2E2C9B28" w:rsidR="00EA2C52" w:rsidRPr="00EA2C52" w:rsidRDefault="00EA2C52" w:rsidP="00851317">
      <w:pPr>
        <w:pStyle w:val="Default"/>
        <w:rPr>
          <w:rFonts w:ascii="Calibri" w:hAnsi="Calibri" w:cs="Calibri"/>
          <w:sz w:val="22"/>
          <w:szCs w:val="22"/>
        </w:rPr>
      </w:pPr>
      <w:r w:rsidRPr="00EA2C52">
        <w:rPr>
          <w:rFonts w:ascii="Calibri" w:hAnsi="Calibri" w:cs="Calibri"/>
          <w:sz w:val="22"/>
          <w:szCs w:val="22"/>
        </w:rPr>
        <w:t xml:space="preserve">Da un punto di vista </w:t>
      </w:r>
      <w:r w:rsidR="00E07999">
        <w:rPr>
          <w:rFonts w:ascii="Calibri" w:hAnsi="Calibri" w:cs="Calibri"/>
          <w:sz w:val="22"/>
          <w:szCs w:val="22"/>
        </w:rPr>
        <w:t>di cross-market</w:t>
      </w:r>
      <w:r w:rsidRPr="00EA2C52">
        <w:rPr>
          <w:rFonts w:ascii="Calibri" w:hAnsi="Calibri" w:cs="Calibri"/>
          <w:sz w:val="22"/>
          <w:szCs w:val="22"/>
        </w:rPr>
        <w:t xml:space="preserve">, </w:t>
      </w:r>
      <w:r w:rsidRPr="00E07999">
        <w:rPr>
          <w:rFonts w:ascii="Calibri" w:hAnsi="Calibri" w:cs="Calibri"/>
          <w:b/>
          <w:bCs/>
          <w:sz w:val="22"/>
          <w:szCs w:val="22"/>
        </w:rPr>
        <w:t xml:space="preserve">manteniamo la nostra preferenza per i </w:t>
      </w:r>
      <w:proofErr w:type="spellStart"/>
      <w:r w:rsidR="00E07999" w:rsidRPr="00E07999">
        <w:rPr>
          <w:rFonts w:ascii="Calibri" w:hAnsi="Calibri" w:cs="Calibri"/>
          <w:b/>
          <w:bCs/>
          <w:sz w:val="22"/>
          <w:szCs w:val="22"/>
        </w:rPr>
        <w:t>G</w:t>
      </w:r>
      <w:r w:rsidRPr="00E07999">
        <w:rPr>
          <w:rFonts w:ascii="Calibri" w:hAnsi="Calibri" w:cs="Calibri"/>
          <w:b/>
          <w:bCs/>
          <w:sz w:val="22"/>
          <w:szCs w:val="22"/>
        </w:rPr>
        <w:t>ilt</w:t>
      </w:r>
      <w:proofErr w:type="spellEnd"/>
      <w:r w:rsidRPr="00E079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07999" w:rsidRPr="00E07999">
        <w:rPr>
          <w:rFonts w:ascii="Calibri" w:hAnsi="Calibri" w:cs="Calibri"/>
          <w:b/>
          <w:bCs/>
          <w:sz w:val="22"/>
          <w:szCs w:val="22"/>
        </w:rPr>
        <w:t>britannici</w:t>
      </w:r>
      <w:r w:rsidRPr="00EA2C52">
        <w:rPr>
          <w:rFonts w:ascii="Calibri" w:hAnsi="Calibri" w:cs="Calibri"/>
          <w:sz w:val="22"/>
          <w:szCs w:val="22"/>
        </w:rPr>
        <w:t xml:space="preserve">, dove l'allentamento del mercato del lavoro e le </w:t>
      </w:r>
      <w:r w:rsidR="00E07999">
        <w:rPr>
          <w:rFonts w:ascii="Calibri" w:hAnsi="Calibri" w:cs="Calibri"/>
          <w:sz w:val="22"/>
          <w:szCs w:val="22"/>
        </w:rPr>
        <w:t>aspettative</w:t>
      </w:r>
      <w:r w:rsidRPr="00EA2C52">
        <w:rPr>
          <w:rFonts w:ascii="Calibri" w:hAnsi="Calibri" w:cs="Calibri"/>
          <w:sz w:val="22"/>
          <w:szCs w:val="22"/>
        </w:rPr>
        <w:t xml:space="preserve"> sull'inflazione sono incoraggianti. </w:t>
      </w:r>
      <w:r w:rsidR="00E07999">
        <w:rPr>
          <w:rFonts w:ascii="Calibri" w:hAnsi="Calibri" w:cs="Calibri"/>
          <w:sz w:val="22"/>
          <w:szCs w:val="22"/>
        </w:rPr>
        <w:t>Al momento,</w:t>
      </w:r>
      <w:r w:rsidRPr="00EA2C52">
        <w:rPr>
          <w:rFonts w:ascii="Calibri" w:hAnsi="Calibri" w:cs="Calibri"/>
          <w:sz w:val="22"/>
          <w:szCs w:val="22"/>
        </w:rPr>
        <w:t xml:space="preserve"> </w:t>
      </w:r>
      <w:r w:rsidRPr="00887C57">
        <w:rPr>
          <w:rFonts w:ascii="Calibri" w:hAnsi="Calibri" w:cs="Calibri"/>
          <w:b/>
          <w:bCs/>
          <w:sz w:val="22"/>
          <w:szCs w:val="22"/>
        </w:rPr>
        <w:t xml:space="preserve">non abbiamo una forte preferenza per i Treasury </w:t>
      </w:r>
      <w:r w:rsidR="006E15B1">
        <w:rPr>
          <w:rFonts w:ascii="Calibri" w:hAnsi="Calibri" w:cs="Calibri"/>
          <w:b/>
          <w:bCs/>
          <w:sz w:val="22"/>
          <w:szCs w:val="22"/>
        </w:rPr>
        <w:t>Usa</w:t>
      </w:r>
      <w:r w:rsidRPr="00887C57">
        <w:rPr>
          <w:rFonts w:ascii="Calibri" w:hAnsi="Calibri" w:cs="Calibri"/>
          <w:b/>
          <w:bCs/>
          <w:sz w:val="22"/>
          <w:szCs w:val="22"/>
        </w:rPr>
        <w:t xml:space="preserve"> o per i Bund tedeschi</w:t>
      </w:r>
      <w:r w:rsidRPr="00EA2C52">
        <w:rPr>
          <w:rFonts w:ascii="Calibri" w:hAnsi="Calibri" w:cs="Calibri"/>
          <w:sz w:val="22"/>
          <w:szCs w:val="22"/>
        </w:rPr>
        <w:t xml:space="preserve">, </w:t>
      </w:r>
      <w:r w:rsidRPr="00887C57">
        <w:rPr>
          <w:rFonts w:ascii="Calibri" w:hAnsi="Calibri" w:cs="Calibri"/>
          <w:b/>
          <w:bCs/>
          <w:sz w:val="22"/>
          <w:szCs w:val="22"/>
        </w:rPr>
        <w:t>ma siamo diventati più costruttivi sulla duration canadese</w:t>
      </w:r>
      <w:r w:rsidRPr="00EA2C52">
        <w:rPr>
          <w:rFonts w:ascii="Calibri" w:hAnsi="Calibri" w:cs="Calibri"/>
          <w:sz w:val="22"/>
          <w:szCs w:val="22"/>
        </w:rPr>
        <w:t>, visto l'atteggiamento più favorevole della banca centrale e i deboli dati macro. Tuttavia, siamo consapevoli che le valutazioni si trovano attualmente all'estremo dello spettro.</w:t>
      </w:r>
    </w:p>
    <w:p w14:paraId="1BA96086" w14:textId="77777777" w:rsidR="00EA2C52" w:rsidRPr="00EA2C52" w:rsidRDefault="00EA2C52" w:rsidP="00851317">
      <w:pPr>
        <w:pStyle w:val="Default"/>
        <w:rPr>
          <w:rFonts w:ascii="Calibri" w:hAnsi="Calibri" w:cs="Calibri"/>
          <w:sz w:val="22"/>
          <w:szCs w:val="22"/>
        </w:rPr>
      </w:pPr>
    </w:p>
    <w:p w14:paraId="65548AE3" w14:textId="6AFEC1DB" w:rsidR="00E07999" w:rsidRPr="00E07999" w:rsidRDefault="00E07999" w:rsidP="00E07999">
      <w:pPr>
        <w:spacing w:after="0" w:line="240" w:lineRule="auto"/>
        <w:rPr>
          <w:rFonts w:ascii="Calibri" w:hAnsi="Calibri" w:cs="Calibri"/>
        </w:rPr>
      </w:pPr>
      <w:r w:rsidRPr="00E07999">
        <w:rPr>
          <w:rFonts w:ascii="Calibri" w:hAnsi="Calibri" w:cs="Calibri"/>
        </w:rPr>
        <w:t xml:space="preserve">Per quanto riguarda il credito societario, </w:t>
      </w:r>
      <w:r w:rsidRPr="00887C57">
        <w:rPr>
          <w:rFonts w:ascii="Calibri" w:hAnsi="Calibri" w:cs="Calibri"/>
          <w:b/>
          <w:bCs/>
        </w:rPr>
        <w:t xml:space="preserve">continuiamo a preferire il credito europeo rispetto a quello statunitense, sia Investment Grade </w:t>
      </w:r>
      <w:r w:rsidR="00271218">
        <w:rPr>
          <w:rFonts w:ascii="Calibri" w:hAnsi="Calibri" w:cs="Calibri"/>
          <w:b/>
          <w:bCs/>
        </w:rPr>
        <w:t>sia</w:t>
      </w:r>
      <w:r w:rsidR="00271218" w:rsidRPr="00887C57">
        <w:rPr>
          <w:rFonts w:ascii="Calibri" w:hAnsi="Calibri" w:cs="Calibri"/>
          <w:b/>
          <w:bCs/>
        </w:rPr>
        <w:t xml:space="preserve"> </w:t>
      </w:r>
      <w:r w:rsidRPr="00887C57">
        <w:rPr>
          <w:rFonts w:ascii="Calibri" w:hAnsi="Calibri" w:cs="Calibri"/>
          <w:b/>
          <w:bCs/>
        </w:rPr>
        <w:t>High Yield</w:t>
      </w:r>
      <w:r w:rsidRPr="00E07999">
        <w:rPr>
          <w:rFonts w:ascii="Calibri" w:hAnsi="Calibri" w:cs="Calibri"/>
        </w:rPr>
        <w:t xml:space="preserve">, viste le valutazioni. Tuttavia, manteniamo la nostra preferenza per </w:t>
      </w:r>
      <w:r>
        <w:rPr>
          <w:rFonts w:ascii="Calibri" w:hAnsi="Calibri" w:cs="Calibri"/>
        </w:rPr>
        <w:t xml:space="preserve">i bond </w:t>
      </w:r>
      <w:r w:rsidR="0037315A">
        <w:rPr>
          <w:rFonts w:ascii="Calibri" w:hAnsi="Calibri" w:cs="Calibri"/>
        </w:rPr>
        <w:t xml:space="preserve">in euro </w:t>
      </w:r>
      <w:r>
        <w:rPr>
          <w:rFonts w:ascii="Calibri" w:hAnsi="Calibri" w:cs="Calibri"/>
        </w:rPr>
        <w:t>I</w:t>
      </w:r>
      <w:r w:rsidR="00271218">
        <w:rPr>
          <w:rFonts w:ascii="Calibri" w:hAnsi="Calibri" w:cs="Calibri"/>
        </w:rPr>
        <w:t xml:space="preserve">nvestment </w:t>
      </w:r>
      <w:r>
        <w:rPr>
          <w:rFonts w:ascii="Calibri" w:hAnsi="Calibri" w:cs="Calibri"/>
        </w:rPr>
        <w:t>G</w:t>
      </w:r>
      <w:r w:rsidR="00271218">
        <w:rPr>
          <w:rFonts w:ascii="Calibri" w:hAnsi="Calibri" w:cs="Calibri"/>
        </w:rPr>
        <w:t>rade</w:t>
      </w:r>
      <w:r>
        <w:rPr>
          <w:rFonts w:ascii="Calibri" w:hAnsi="Calibri" w:cs="Calibri"/>
        </w:rPr>
        <w:t xml:space="preserve"> rispetto a quelli </w:t>
      </w:r>
      <w:r w:rsidR="00470D04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igh </w:t>
      </w:r>
      <w:r w:rsidR="00470D04">
        <w:rPr>
          <w:rFonts w:ascii="Calibri" w:hAnsi="Calibri" w:cs="Calibri"/>
        </w:rPr>
        <w:t>Y</w:t>
      </w:r>
      <w:r>
        <w:rPr>
          <w:rFonts w:ascii="Calibri" w:hAnsi="Calibri" w:cs="Calibri"/>
        </w:rPr>
        <w:t>ield,</w:t>
      </w:r>
      <w:r w:rsidRPr="00E07999">
        <w:rPr>
          <w:rFonts w:ascii="Calibri" w:hAnsi="Calibri" w:cs="Calibri"/>
        </w:rPr>
        <w:t xml:space="preserve"> soprattutto per motivi di valutazione.</w:t>
      </w:r>
    </w:p>
    <w:sectPr w:rsidR="00E07999" w:rsidRPr="00E079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altName w:val="Noto Sans"/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44"/>
    <w:rsid w:val="00146067"/>
    <w:rsid w:val="0015494C"/>
    <w:rsid w:val="00175DA9"/>
    <w:rsid w:val="001B0954"/>
    <w:rsid w:val="001C0494"/>
    <w:rsid w:val="00271218"/>
    <w:rsid w:val="00283B7E"/>
    <w:rsid w:val="0037315A"/>
    <w:rsid w:val="00461F81"/>
    <w:rsid w:val="00465889"/>
    <w:rsid w:val="00470D04"/>
    <w:rsid w:val="004B4918"/>
    <w:rsid w:val="005D04D2"/>
    <w:rsid w:val="00624C10"/>
    <w:rsid w:val="006E15B1"/>
    <w:rsid w:val="00851317"/>
    <w:rsid w:val="00885AFF"/>
    <w:rsid w:val="00887C57"/>
    <w:rsid w:val="009908B3"/>
    <w:rsid w:val="009A41B3"/>
    <w:rsid w:val="00A54F5C"/>
    <w:rsid w:val="00D16F58"/>
    <w:rsid w:val="00E07999"/>
    <w:rsid w:val="00EA2C52"/>
    <w:rsid w:val="00EA6D42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7BBB"/>
  <w15:chartTrackingRefBased/>
  <w15:docId w15:val="{46D43B59-A414-4423-9C73-2200E28E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6B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6B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6B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6B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6B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6B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6B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6B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6B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6B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6B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6B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6B4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6B4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6B4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6B4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6B4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6B4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6B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76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6B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6B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76B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6B4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76B4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76B4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6B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6B4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76B4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51317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kern w:val="0"/>
      <w:sz w:val="24"/>
      <w:szCs w:val="24"/>
    </w:rPr>
  </w:style>
  <w:style w:type="paragraph" w:customStyle="1" w:styleId="typographyparagraph-sc-numijp-1">
    <w:name w:val="typography__paragraph-sc-numijp-1"/>
    <w:basedOn w:val="Normale"/>
    <w:rsid w:val="0085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851317"/>
    <w:rPr>
      <w:i/>
      <w:iCs/>
    </w:rPr>
  </w:style>
  <w:style w:type="paragraph" w:styleId="Revisione">
    <w:name w:val="Revision"/>
    <w:hidden/>
    <w:uiPriority w:val="99"/>
    <w:semiHidden/>
    <w:rsid w:val="00A5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2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Denise Bosotti</cp:lastModifiedBy>
  <cp:revision>4</cp:revision>
  <dcterms:created xsi:type="dcterms:W3CDTF">2024-06-20T13:54:00Z</dcterms:created>
  <dcterms:modified xsi:type="dcterms:W3CDTF">2024-06-21T14:40:00Z</dcterms:modified>
</cp:coreProperties>
</file>