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jc w:val="right"/>
        <w:rPr>
          <w:i w:val="1"/>
          <w:iCs w:val="1"/>
        </w:rPr>
      </w:pPr>
    </w:p>
    <w:p>
      <w:pPr>
        <w:pStyle w:val="Normal.0"/>
        <w:jc w:val="right"/>
      </w:pPr>
    </w:p>
    <w:p>
      <w:pPr>
        <w:pStyle w:val="Normal.0"/>
        <w:jc w:val="right"/>
        <w:rPr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Roma,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giugno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</w:p>
    <w:p>
      <w:pPr>
        <w:pStyle w:val="Normal.0"/>
        <w:jc w:val="right"/>
        <w:rPr>
          <w:outline w:val="0"/>
          <w:color w:val="00336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spacing w:line="276" w:lineRule="auto"/>
        <w:rPr>
          <w:b w:val="0"/>
          <w:bCs w:val="0"/>
          <w:outline w:val="0"/>
          <w:color w:val="003366"/>
          <w:sz w:val="20"/>
          <w:szCs w:val="20"/>
          <w:u w:val="single" w:color="003366"/>
          <w14:textFill>
            <w14:solidFill>
              <w14:srgbClr w14:val="003366"/>
            </w14:solidFill>
          </w14:textFill>
        </w:rPr>
      </w:pPr>
      <w:r>
        <w:rPr>
          <w:b w:val="0"/>
          <w:bCs w:val="0"/>
          <w:outline w:val="0"/>
          <w:color w:val="003366"/>
          <w:sz w:val="20"/>
          <w:szCs w:val="20"/>
          <w:u w:val="single" w:color="003366"/>
          <w:rtl w:val="0"/>
          <w:lang w:val="it-IT"/>
          <w14:textFill>
            <w14:solidFill>
              <w14:srgbClr w14:val="003366"/>
            </w14:solidFill>
          </w14:textFill>
        </w:rPr>
        <w:t>MERCATO AUTOVEICOLI</w:t>
      </w:r>
    </w:p>
    <w:p>
      <w:pPr>
        <w:pStyle w:val="Normal.0"/>
        <w:spacing w:line="276" w:lineRule="auto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ACI: 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USATO IN CRESCITA ANCHE NEL MESE DI MAGGIO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</w:t>
      </w: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ENNESIMO BILANCIO POSITIVO PER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LE RADIAZIONI</w:t>
      </w:r>
    </w:p>
    <w:p>
      <w:pPr>
        <w:pStyle w:val="Normal.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line="288" w:lineRule="auto"/>
        <w:jc w:val="both"/>
        <w:rPr>
          <w:sz w:val="20"/>
          <w:szCs w:val="20"/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Segno pi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anche a maggio per il mercato dell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usato in Italia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I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passaggi di propriet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elle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autovetture al netto delle minivolture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(trasferimenti temporanei a nome del concessionario in attesa della rivendita al cliente finale) hanno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registrato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au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mento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7,7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 rispetto a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maggio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. I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l mercato dell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usato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continua ad attrarre maggiori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consensi rispetto al mercato del nuovo: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ogni 100 autovetture nuove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maggio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 sono state vendute 1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93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seconda mano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(18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prim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cinque mesi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anno).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In rialzo anche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passaggi netti di motocicli,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che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maggio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hanno archiviato un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incremento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6,1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all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analogo mese del 2023.</w:t>
      </w:r>
    </w:p>
    <w:p>
      <w:pPr>
        <w:pStyle w:val="Normal.0"/>
        <w:spacing w:line="288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Nella scelta delle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alimentazioni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l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preferenze dei consumatori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ennesima vo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ta,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sono ricadute in maggioranza sui carburanti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tradizionali (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gasolio e benzina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, mentre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quota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mercato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delle vetture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usate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ibride a benzina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si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attestata al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con un incremento del 68,5%.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auto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elettriche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di seconda mano, seppure in crescita del 67,8%, non superano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ancora lo 0,7% di quota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Nelle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minivolture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si confermano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saldamente in cima alla classifica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autovetture diesel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48,6%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quota a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maggio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in calo rispetto all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analogo mese del 202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quando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attestava 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5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%). 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incidenza delle alimentazioni ibride a benzina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raggiunge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%, con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 incremento del 57,5%, e continua pertanto a superare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quella delle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bifuel benzina/gpl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che si attesta al 7,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%.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Da evidenziare, infine, 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aumento delle minivolture di auto ibride a gasolio ed elettriche, che hanno ottenuto rialzi rispettivamente del 60,3% e del 64,1%, ma con percentuali ancora al di sotto del 2%.</w:t>
      </w:r>
    </w:p>
    <w:p>
      <w:pPr>
        <w:pStyle w:val="Normal.0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footer"/>
        <w:tabs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it-IT"/>
        </w:rPr>
        <w:t>Ne</w:t>
      </w:r>
      <w:r>
        <w:rPr>
          <w:rFonts w:ascii="Cambria" w:hAnsi="Cambria"/>
          <w:sz w:val="20"/>
          <w:szCs w:val="20"/>
          <w:rtl w:val="0"/>
          <w:lang w:val="it-IT"/>
        </w:rPr>
        <w:t>i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prim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i cinque mesi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del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 202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4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rispetto allo stesso periodo del 202</w:t>
      </w:r>
      <w:r>
        <w:rPr>
          <w:rFonts w:ascii="Cambria" w:hAnsi="Cambria"/>
          <w:sz w:val="20"/>
          <w:szCs w:val="20"/>
          <w:rtl w:val="0"/>
          <w:lang w:val="it-IT"/>
        </w:rPr>
        <w:t>3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i trasferimenti netti evidenziano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 aumenti del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10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,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2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% per le autovetture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,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del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6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,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2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% per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i motocicli e del 9,1% per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tutti i veicoli</w:t>
      </w:r>
      <w:r>
        <w:rPr>
          <w:rFonts w:ascii="Cambria" w:hAnsi="Cambria"/>
          <w:sz w:val="20"/>
          <w:szCs w:val="20"/>
          <w:rtl w:val="0"/>
          <w:lang w:val="it-IT"/>
        </w:rPr>
        <w:t>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dati sono riportati nell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ultimo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bollettino mensile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Auto-Trend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analisi statistica realizzata dall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Automobile Club d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Italia sui dati del PRA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consultabile sul sito www.aci.it 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Prosegue anche a maggio la buona performance delle radiazioni, che tuttavia rallenta ma non frena la costante crescita del parco circolante italiano.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radiazioni di autovetture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hanno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registrato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un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inc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remento del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11,7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 rispetto a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maggio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(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determinato in particolare da una crescita del 21% delle esportazioni).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tasso unitario di sostituzione risulta pari a 0,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70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nel mese di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maggio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(ogni 100 auto nuove ne sono state radiate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70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 e a 0,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71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nei primi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cinque mesi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202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crescita anche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radiazioni di motocicli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hanno chiuso il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bilancio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maggio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un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aumento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del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6,3%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sz w:val="16"/>
          <w:szCs w:val="16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it-IT"/>
        </w:rPr>
        <w:t xml:space="preserve">Complessivamente da gennaio a </w:t>
      </w:r>
      <w:r>
        <w:rPr>
          <w:rFonts w:ascii="Cambria" w:hAnsi="Cambria"/>
          <w:sz w:val="20"/>
          <w:szCs w:val="20"/>
          <w:rtl w:val="0"/>
          <w:lang w:val="it-IT"/>
        </w:rPr>
        <w:t>maggio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202</w:t>
      </w:r>
      <w:r>
        <w:rPr>
          <w:rFonts w:ascii="Cambria" w:hAnsi="Cambria"/>
          <w:sz w:val="20"/>
          <w:szCs w:val="20"/>
          <w:rtl w:val="0"/>
          <w:lang w:val="it-IT"/>
        </w:rPr>
        <w:t>4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rispetto agli stessi mesi del 202</w:t>
      </w:r>
      <w:r>
        <w:rPr>
          <w:rFonts w:ascii="Cambria" w:hAnsi="Cambria"/>
          <w:sz w:val="20"/>
          <w:szCs w:val="20"/>
          <w:rtl w:val="0"/>
          <w:lang w:val="it-IT"/>
        </w:rPr>
        <w:t>3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le radiazioni hanno archiviato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in</w:t>
      </w:r>
      <w:r>
        <w:rPr>
          <w:rFonts w:ascii="Cambria" w:hAnsi="Cambria"/>
          <w:sz w:val="20"/>
          <w:szCs w:val="20"/>
          <w:rtl w:val="0"/>
          <w:lang w:val="it-IT"/>
        </w:rPr>
        <w:t>crementi del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23,6</w:t>
      </w:r>
      <w:r>
        <w:rPr>
          <w:rFonts w:ascii="Cambria" w:hAnsi="Cambria"/>
          <w:sz w:val="20"/>
          <w:szCs w:val="20"/>
          <w:rtl w:val="0"/>
          <w:lang w:val="it-IT"/>
        </w:rPr>
        <w:t>% per le autovetture</w:t>
      </w:r>
      <w:r>
        <w:rPr>
          <w:rFonts w:ascii="Cambria" w:hAnsi="Cambria"/>
          <w:sz w:val="20"/>
          <w:szCs w:val="20"/>
          <w:rtl w:val="0"/>
          <w:lang w:val="it-IT"/>
        </w:rPr>
        <w:t>, del 12,6% per i motocicli e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del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23</w:t>
      </w:r>
      <w:r>
        <w:rPr>
          <w:rFonts w:ascii="Cambria" w:hAnsi="Cambria"/>
          <w:sz w:val="20"/>
          <w:szCs w:val="20"/>
          <w:rtl w:val="0"/>
          <w:lang w:val="it-IT"/>
        </w:rPr>
        <w:t>% per tutti i veicoli</w:t>
      </w:r>
      <w:r>
        <w:rPr>
          <w:rFonts w:ascii="Cambria" w:hAnsi="Cambria"/>
          <w:sz w:val="20"/>
          <w:szCs w:val="20"/>
          <w:rtl w:val="0"/>
          <w:lang w:val="it-IT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RADIAZIONI E USATO A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MAGGIO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23" w:type="dxa"/>
        <w:jc w:val="center"/>
        <w:tblInd w:w="6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8"/>
        <w:gridCol w:w="1383"/>
        <w:gridCol w:w="1383"/>
        <w:gridCol w:w="991"/>
        <w:gridCol w:w="1383"/>
        <w:gridCol w:w="1384"/>
        <w:gridCol w:w="991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80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80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MAG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MAG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MAG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MAG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90.862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101.517</w:t>
            </w:r>
          </w:p>
        </w:tc>
        <w:tc>
          <w:tcPr>
            <w:tcW w:type="dxa" w:w="99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11,7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261.419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281.547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7,7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10.407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11.061</w:t>
            </w:r>
          </w:p>
        </w:tc>
        <w:tc>
          <w:tcPr>
            <w:tcW w:type="dxa" w:w="99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67.475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71.571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110.587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123.537</w:t>
            </w:r>
          </w:p>
        </w:tc>
        <w:tc>
          <w:tcPr>
            <w:tcW w:type="dxa" w:w="99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11,7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371.599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397.931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7,1</w:t>
            </w:r>
          </w:p>
        </w:tc>
      </w:tr>
    </w:tbl>
    <w:p>
      <w:pPr>
        <w:pStyle w:val="Normal.0"/>
        <w:widowControl w:val="0"/>
        <w:ind w:left="541" w:hanging="541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RADIAZIONI E USATO DA GENNAIO A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MAGGIO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23" w:type="dxa"/>
        <w:jc w:val="center"/>
        <w:tblInd w:w="6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1"/>
        <w:gridCol w:w="1419"/>
        <w:gridCol w:w="1384"/>
        <w:gridCol w:w="993"/>
        <w:gridCol w:w="1382"/>
        <w:gridCol w:w="1383"/>
        <w:gridCol w:w="991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77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7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771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MAG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MAG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MAG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MAG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41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418.776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517.543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23,6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1.226.744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1.352.289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10,2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41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49.493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55.716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12,6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264.974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281.528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6,2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41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514.833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633.221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23,0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1.699.400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1.853.246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</w:t>
            </w:r>
          </w:p>
        </w:tc>
      </w:tr>
    </w:tbl>
    <w:p>
      <w:pPr>
        <w:pStyle w:val="Normal.0"/>
        <w:widowControl w:val="0"/>
        <w:ind w:left="541" w:hanging="541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4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: RADIAZIONI AUTOVETTURE SECONDO LA CLASSE EURO</w:t>
      </w: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70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2"/>
        <w:gridCol w:w="620"/>
        <w:gridCol w:w="623"/>
        <w:gridCol w:w="620"/>
        <w:gridCol w:w="622"/>
        <w:gridCol w:w="622"/>
        <w:gridCol w:w="621"/>
        <w:gridCol w:w="622"/>
        <w:gridCol w:w="622"/>
        <w:gridCol w:w="621"/>
        <w:gridCol w:w="622"/>
        <w:gridCol w:w="622"/>
        <w:gridCol w:w="622"/>
        <w:gridCol w:w="831"/>
      </w:tblGrid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GEN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FEB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MAR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APR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MAG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GIU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LUG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AGO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SET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OTT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NOV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DIC</w:t>
            </w:r>
          </w:p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0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0,9%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2,5%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0,9%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0,9%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0,8%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1,3%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1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1,7%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3,8%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1,4%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1,4%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1,3%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2,1%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2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15,0%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13,8%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12,9%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12,7%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12,0%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13,2%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3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24,2%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18,4%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22,2%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22,0%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20,8%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21,1%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4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34,9%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30,9%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38,0%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37,6%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34,4%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34,5%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5-6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21,7%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16,4%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23,1%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24,1%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22,6%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20,9%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Non identificato </w:t>
            </w:r>
          </w:p>
        </w:tc>
        <w:tc>
          <w:tcPr>
            <w:tcW w:type="dxa" w:w="6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1,6%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14,2%</w:t>
            </w:r>
          </w:p>
        </w:tc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1,4%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1,4%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8,0%</w:t>
            </w:r>
          </w:p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7,0%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outline w:val="0"/>
          <w:color w:val="800000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</w:p>
    <w:p>
      <w:pPr>
        <w:pStyle w:val="Normal.0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CONFRONTO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PASSAGGI AUTOVETTURE PER ALIMENTAZIONE</w:t>
      </w:r>
    </w:p>
    <w:p>
      <w:pPr>
        <w:pStyle w:val="Normal.0"/>
        <w:rPr>
          <w:sz w:val="12"/>
          <w:szCs w:val="12"/>
        </w:rPr>
      </w:pPr>
    </w:p>
    <w:tbl>
      <w:tblPr>
        <w:tblW w:w="9334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9"/>
        <w:gridCol w:w="1338"/>
        <w:gridCol w:w="1242"/>
        <w:gridCol w:w="951"/>
        <w:gridCol w:w="1353"/>
        <w:gridCol w:w="1322"/>
        <w:gridCol w:w="969"/>
      </w:tblGrid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QUOTA DI MERCATO (%)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MAG</w:t>
            </w:r>
            <w:r>
              <w:rPr>
                <w:u w:color="011892"/>
                <w:rtl w:val="0"/>
                <w:lang w:val="it-IT"/>
              </w:rPr>
              <w:t xml:space="preserve"> ’</w:t>
            </w:r>
            <w:r>
              <w:rPr>
                <w:u w:color="011892"/>
                <w:rtl w:val="0"/>
                <w:lang w:val="it-IT"/>
              </w:rPr>
              <w:t>2</w:t>
            </w:r>
            <w:r>
              <w:rPr>
                <w:u w:color="011892"/>
                <w:rtl w:val="0"/>
                <w:lang w:val="it-IT"/>
              </w:rPr>
              <w:t>3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MAG </w:t>
            </w:r>
            <w:r>
              <w:rPr>
                <w:u w:color="011892"/>
                <w:rtl w:val="0"/>
                <w:lang w:val="it-IT"/>
              </w:rPr>
              <w:t>’</w:t>
            </w:r>
            <w:r>
              <w:rPr>
                <w:u w:color="011892"/>
                <w:rtl w:val="0"/>
                <w:lang w:val="it-IT"/>
              </w:rPr>
              <w:t>2</w:t>
            </w:r>
            <w:r>
              <w:rPr>
                <w:u w:color="011892"/>
                <w:rtl w:val="0"/>
                <w:lang w:val="it-IT"/>
              </w:rPr>
              <w:t>4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>Var. %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rtl w:val="0"/>
                <w:lang w:val="it-IT"/>
              </w:rPr>
              <w:t>GEN-</w:t>
            </w:r>
            <w:r>
              <w:rPr>
                <w:u w:color="011892"/>
                <w:rtl w:val="0"/>
                <w:lang w:val="it-IT"/>
              </w:rPr>
              <w:t>MAG</w:t>
            </w:r>
            <w:r>
              <w:rPr>
                <w:u w:color="011892"/>
                <w:rtl w:val="0"/>
                <w:lang w:val="it-IT"/>
              </w:rPr>
              <w:t xml:space="preserve"> ’</w:t>
            </w:r>
            <w:r>
              <w:rPr>
                <w:u w:color="011892"/>
                <w:rtl w:val="0"/>
                <w:lang w:val="it-IT"/>
              </w:rPr>
              <w:t>2</w:t>
            </w:r>
            <w:r>
              <w:rPr>
                <w:u w:color="011892"/>
                <w:rtl w:val="0"/>
                <w:lang w:val="it-IT"/>
              </w:rPr>
              <w:t>3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rtl w:val="0"/>
                <w:lang w:val="it-IT"/>
              </w:rPr>
              <w:t>GEN-</w:t>
            </w:r>
            <w:r>
              <w:rPr>
                <w:u w:color="011892"/>
                <w:rtl w:val="0"/>
                <w:lang w:val="it-IT"/>
              </w:rPr>
              <w:t xml:space="preserve">MAG </w:t>
            </w:r>
            <w:r>
              <w:rPr>
                <w:u w:color="011892"/>
                <w:rtl w:val="0"/>
                <w:lang w:val="it-IT"/>
              </w:rPr>
              <w:t>’</w:t>
            </w:r>
            <w:r>
              <w:rPr>
                <w:u w:color="011892"/>
                <w:rtl w:val="0"/>
                <w:lang w:val="it-IT"/>
              </w:rPr>
              <w:t>2</w:t>
            </w:r>
            <w:r>
              <w:rPr>
                <w:u w:color="011892"/>
                <w:rtl w:val="0"/>
                <w:lang w:val="it-IT"/>
              </w:rPr>
              <w:t>4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 </w:t>
            </w:r>
          </w:p>
        </w:tc>
        <w:tc>
          <w:tcPr>
            <w:tcW w:type="dxa" w:w="620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AL NETTO MINIVOLTURE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36,6%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36,1%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6,5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28,2%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36,7%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47,3%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44,4%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1,3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19,2%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44,6%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7,1%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8,8%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1,8%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-2,4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0,0%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-8,2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0,1%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-3,4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67,8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3,7%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66,8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4,8%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7,6%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68,5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34,9%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6,7%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52,4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1,3%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81,7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5,0%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1,2%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88,7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0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MINIVOLTURE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29,3%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30,3%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9,9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29,3%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29,9%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52,9%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48,6%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-2,2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53,1%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49,2%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7,2%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7,1%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5,6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-7,1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-3,1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-10,7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-0,3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1,2%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64,1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5,9%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8,7%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57,5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5,8%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8,3%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59,5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1,2%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1,8%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60,3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74,6</w:t>
            </w:r>
          </w:p>
        </w:tc>
      </w:tr>
    </w:tbl>
    <w:p>
      <w:pPr>
        <w:pStyle w:val="Normal.0"/>
        <w:widowControl w:val="0"/>
        <w:ind w:left="540" w:hanging="540"/>
        <w:rPr>
          <w:sz w:val="12"/>
          <w:szCs w:val="12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</w:pPr>
      <w:r>
        <w:rPr>
          <w:i w:val="1"/>
          <w:iCs w:val="1"/>
          <w:rtl w:val="0"/>
          <w:lang w:val="it-IT"/>
        </w:rPr>
        <w:t xml:space="preserve">             NOTA: Le variazioni percentuali sono calcolate rispetto ai valori assoluti delle formalit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non inseriti in tabella.</w:t>
      </w: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AUTOVETTURE: QUADRO PROVINCIALE (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Maggio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4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279" w:type="dxa"/>
        <w:jc w:val="center"/>
        <w:tblInd w:w="7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0"/>
        <w:gridCol w:w="1121"/>
        <w:gridCol w:w="1121"/>
        <w:gridCol w:w="1122"/>
        <w:gridCol w:w="1121"/>
        <w:gridCol w:w="1121"/>
        <w:gridCol w:w="1123"/>
      </w:tblGrid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 </w:t>
            </w:r>
          </w:p>
        </w:tc>
        <w:tc>
          <w:tcPr>
            <w:tcW w:type="dxa" w:w="336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3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NETTI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lang w:val="it-IT"/>
                <w14:textFill>
                  <w14:solidFill>
                    <w14:srgbClr w14:val="000099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Provincia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AL (Alessandria)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2.243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AT (Asti)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89,4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1.108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BI (Biella)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1.021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CN (Cuneo)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1.037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2.904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3.043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NO (Novara)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1.792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TO (Torino)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3.054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10.040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14.518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VB (Verbania)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-7,3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VC (Vercelli)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PIEMONTE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6.072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6.776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11,6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20.104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25.365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26,2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AO (Aosta)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VALLE D'AOSTA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327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769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18,3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BG (Bergamo)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1.582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4.599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4.862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BS (Brescia)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2.126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5.881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6.444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CO (Como)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1.016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2.701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2.796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CR (Cremona)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1.633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LC (Lecco)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1.443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LO (Lodi)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976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MN (Mantova)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2.044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MI (Milano)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5.331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7.611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11.909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12.848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MB (Monza Brianza)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1.281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3.452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3.695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PV (Pavia)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877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939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2.479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2.724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SO (Sondrio)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895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VA (Varese)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1.468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3.845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4.102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LOMBARDIA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15.013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18.545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23,5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41.583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44.464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BZ (Bolzano)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1.492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3.255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2.948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-9,4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TN (Trento)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1.221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-17,4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3.188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3.378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TRENTINO A.A.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2.681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2.713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6.443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6.326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-1,8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BL (Belluno)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-3,4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976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PD (Padova)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1.674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3.945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4.224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RO (Rovigo)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1.172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TV (Treviso)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1.687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3.490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3.917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VE (Venezia)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1.248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-4,6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3.071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3.182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VR (Verona)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1.541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-23,7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4.283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4.390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VI (Vicenza)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1.870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3.708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4.050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VENETO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8.694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8.799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20.431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21.911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GO (Gorizia)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PN (Pordenone)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1.536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TS (Trieste)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-7,4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875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UD (Udine)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1.102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2.397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2.573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FRIULI V.G.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2.388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2.440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5.287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5.673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 (Genova)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934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2.997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2.869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-4,3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IM (Imperia)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-11,8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967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948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SP (La Spezia)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-15,8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SV (Savona)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-13,1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1.167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LIGURIA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1.957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1.797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-8,2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6.028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5.885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-2,4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BO (Bologna)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1.588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3.771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4.117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FE (Ferrara)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1.604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FO (Forl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ì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1.733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1.820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MO (Modena)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1.234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3.385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3.568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PR (Parma)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2.224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PC (Piacenza)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1.399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RA (Ravenna)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1.810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RE (Reggio Emilia)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870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1.108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2.692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RN (Rimini)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1.211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1.328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EMILIA ROMAGNA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6.749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7.766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15,1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19.135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20.562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NORD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43.783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49.163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12,3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119.661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130.957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9,4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AR (Arezzo)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1.671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FI (Firenze)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2.577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3.887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4.007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GR (Grosseto)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1.236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LI (Livorno)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1.277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1.424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LU (Lucca)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1.732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MS (Massa Carrara)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PI (Pisa)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1.851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PT (Pistoia)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841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1.438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1.530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PO (Prato)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1.132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SI (Siena)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1.392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TOSCANA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5.658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7.074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25,0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15.905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16.833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PG (Perugia)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1.117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3.201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3.454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TR (Terni)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1.082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UMBRIA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1.392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1.497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4.216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4.536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AN (Ancona)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899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2.156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AP (Ascoli Piceno)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770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FM (Fermo)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MC (Macerata)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1.432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PU (Pesaro e Urbino)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1.392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MARCHE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2.278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2.601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14,2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6.076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6.609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FR (Frosinone)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2.383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2.521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LT (Latina)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798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-7,4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2.633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2.807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RI (Rieti)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-11,3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846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RM (Roma)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7.826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8.696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19.422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19.776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VT (Viterbo)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1.656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LAZIO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10.282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11.145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26.881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27.607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CENTRO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19.610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22.317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13,8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53.078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55.584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4,7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AQ (L'Aquila)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1.448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CH (Chieti)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1.728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PE (Pescara)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1.374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TE (Teramo)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1.595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ABRUZZO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1.951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2.352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20,6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5.944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6.145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CB (Campobasso)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-11,6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1.179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IS (Isernia)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-84,6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MOLISE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1.158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440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-62,0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1.502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1.634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AV (Avellino)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1.907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BN (Benevento)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1.177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1.276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CE (Caserta)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1.284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4.049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4.529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NA (Napoli)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3.808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4.700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11.446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12.506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SA (Salerno)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1.358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4.648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5.096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CAMPANIA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7.119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8.313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16,8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23.095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25.313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9,6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BA (Bari)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2.264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5.605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5.864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BT 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(Barletta Andria Trani)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1.828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BR (Brindisi)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2.125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FG (Foggia)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3.230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LE (Lecce)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1.488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3.591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3.683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TA (Taranto)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812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2.486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2.702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PUGLIA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5.416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6.736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24,4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18.121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19.432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MT (Matera)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949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PZ (Potenza)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1.675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BASILICATA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828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-1,3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2.385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2.625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10,1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CZ (Catanzaro)   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1.593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CS (Cosenza)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813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3.119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3.334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KR (Crotone)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776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RC (Reggio Calabria)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2.437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VV (Vibo Valentia)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-5,1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CALABRIA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1.965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2.159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9,9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8.154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8.796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AG (Agrigento)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1.823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CL (Caltanissetta)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1.021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CT (Catania)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1.588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5.258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5.792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EN (Enna)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ME (Messina)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2.447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2.670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PA (Palermo)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1.681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4.913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5.127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RG (Ragusa)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-19,5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1.623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SR (Siracusa)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1.971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TP (Trapani)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1.911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1.944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SICILIA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6.690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6.882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21.407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22.655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5,8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CA (Cagliari)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-5,1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2.183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NU (Nuoro)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1.120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OR (Oristano)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777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SS (Sassari)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-4,0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2.589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SU (Sud Sardegna)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1.738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3,5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SARDEGNA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2.331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2.328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-0,1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8.072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8.406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4,1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SUD E ISOLE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27.469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30.038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9,4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88.680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95.007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7,1</w:t>
            </w:r>
          </w:p>
        </w:tc>
      </w:tr>
    </w:tbl>
    <w:p>
      <w:pPr>
        <w:pStyle w:val="Normal.0"/>
        <w:widowControl w:val="0"/>
        <w:ind w:left="595" w:hanging="595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5" w:hanging="55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sectPr>
      <w:headerReference w:type="default" r:id="rId5"/>
      <w:footerReference w:type="default" r:id="rId6"/>
      <w:pgSz w:w="11900" w:h="16840" w:orient="portrait"/>
      <w:pgMar w:top="539" w:right="926" w:bottom="851" w:left="1080" w:header="708" w:footer="29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it-IT"/>
      </w:rPr>
      <w:t xml:space="preserve">ACI </w:t>
    </w:r>
    <w:r>
      <w:rPr>
        <w:b w:val="1"/>
        <w:bCs w:val="1"/>
        <w:sz w:val="16"/>
        <w:szCs w:val="16"/>
        <w:rtl w:val="0"/>
        <w:lang w:val="it-IT"/>
      </w:rPr>
      <w:t xml:space="preserve">– </w:t>
    </w:r>
    <w:r>
      <w:rPr>
        <w:b w:val="1"/>
        <w:bCs w:val="1"/>
        <w:sz w:val="16"/>
        <w:szCs w:val="16"/>
        <w:rtl w:val="0"/>
        <w:lang w:val="it-IT"/>
      </w:rPr>
      <w:t>AUTOMOBILE CLUB D</w:t>
    </w:r>
    <w:r>
      <w:rPr>
        <w:b w:val="1"/>
        <w:bCs w:val="1"/>
        <w:sz w:val="16"/>
        <w:szCs w:val="16"/>
        <w:rtl w:val="0"/>
        <w:lang w:val="it-IT"/>
      </w:rPr>
      <w:t>’</w:t>
    </w:r>
    <w:r>
      <w:rPr>
        <w:b w:val="1"/>
        <w:bCs w:val="1"/>
        <w:sz w:val="16"/>
        <w:szCs w:val="16"/>
        <w:rtl w:val="0"/>
        <w:lang w:val="it-IT"/>
      </w:rPr>
      <w:t>ITALIA</w:t>
    </w:r>
  </w:p>
  <w:p>
    <w:pPr>
      <w:pStyle w:val="footer"/>
      <w:rPr>
        <w:i w:val="1"/>
        <w:iCs w:val="1"/>
        <w:sz w:val="16"/>
        <w:szCs w:val="16"/>
      </w:rPr>
    </w:pPr>
    <w:r>
      <w:rPr>
        <w:i w:val="1"/>
        <w:iCs w:val="1"/>
        <w:sz w:val="16"/>
        <w:szCs w:val="16"/>
        <w:rtl w:val="0"/>
        <w:lang w:val="it-IT"/>
      </w:rPr>
      <w:t>Ufficio Stampa</w:t>
    </w:r>
  </w:p>
  <w:p>
    <w:pPr>
      <w:pStyle w:val="footer"/>
    </w:pPr>
    <w:r>
      <w:rPr>
        <w:sz w:val="16"/>
        <w:szCs w:val="16"/>
        <w:rtl w:val="0"/>
        <w:lang w:val="de-DE"/>
      </w:rPr>
      <w:t>ufficio.stampa@aci.it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11892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1189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