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E323F" w14:textId="51E480CD" w:rsidR="0077357C" w:rsidRDefault="00157AAB" w:rsidP="007735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Nota stampa</w:t>
      </w:r>
    </w:p>
    <w:p w14:paraId="32F4324E" w14:textId="13F1B287" w:rsidR="00D6610E" w:rsidRPr="00D6610E" w:rsidRDefault="00334FB2" w:rsidP="0077357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Stanze: </w:t>
      </w:r>
      <w:r w:rsidR="009C543E">
        <w:rPr>
          <w:rFonts w:ascii="Arial" w:hAnsi="Arial" w:cs="Arial"/>
          <w:b/>
          <w:bCs/>
          <w:sz w:val="28"/>
          <w:szCs w:val="28"/>
        </w:rPr>
        <w:t xml:space="preserve">l’offerta è in aumento in tutta Italia </w:t>
      </w:r>
      <w:r w:rsidR="00C80BB6">
        <w:rPr>
          <w:rFonts w:ascii="Arial" w:hAnsi="Arial" w:cs="Arial"/>
          <w:b/>
          <w:bCs/>
          <w:sz w:val="28"/>
          <w:szCs w:val="28"/>
        </w:rPr>
        <w:t xml:space="preserve">e il caro prezzi dei maggiori centri </w:t>
      </w:r>
      <w:r w:rsidR="00F16385">
        <w:rPr>
          <w:rFonts w:ascii="Arial" w:hAnsi="Arial" w:cs="Arial"/>
          <w:b/>
          <w:bCs/>
          <w:sz w:val="28"/>
          <w:szCs w:val="28"/>
        </w:rPr>
        <w:t>lascia spazio ai</w:t>
      </w:r>
      <w:r w:rsidR="00C80BB6">
        <w:rPr>
          <w:rFonts w:ascii="Arial" w:hAnsi="Arial" w:cs="Arial"/>
          <w:b/>
          <w:bCs/>
          <w:sz w:val="28"/>
          <w:szCs w:val="28"/>
        </w:rPr>
        <w:t xml:space="preserve"> mercati più piccoli</w:t>
      </w:r>
    </w:p>
    <w:p w14:paraId="0552895E" w14:textId="25E5C103" w:rsidR="00387A5C" w:rsidRDefault="00C80BB6" w:rsidP="00387A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Sono Catania, Bari e Verona le città con l’offerta maggiore di posti letto disponibili in proporzione al mercato dell’affitto. Milano si conferma la più cara</w:t>
      </w:r>
    </w:p>
    <w:p w14:paraId="1C82C671" w14:textId="76D84897" w:rsidR="009D15A4" w:rsidRDefault="00393459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Fonts w:ascii="Arial" w:hAnsi="Arial" w:cs="Arial"/>
          <w:b/>
          <w:bCs/>
        </w:rPr>
        <w:t xml:space="preserve">Milano, maggio 2024 </w:t>
      </w:r>
      <w:r>
        <w:rPr>
          <w:rFonts w:ascii="Arial" w:hAnsi="Arial" w:cs="Arial"/>
        </w:rPr>
        <w:t xml:space="preserve">– </w:t>
      </w:r>
      <w:r w:rsidR="009D15A4">
        <w:rPr>
          <w:rFonts w:ascii="Arial" w:hAnsi="Arial" w:cs="Arial"/>
        </w:rPr>
        <w:t xml:space="preserve">Anche se l’anno accademico è quasi agli sgoccioli, il tema delle stanze per studenti rimane ormai sempre caldo per la difficoltà d’accesso a causa dei canoni in costante crescita e di un’offerta che fatica a rispondere a tutta la domanda. È per questo che </w:t>
      </w:r>
      <w:r w:rsidR="009D15A4" w:rsidRPr="00393459">
        <w:rPr>
          <w:rFonts w:ascii="Arial" w:hAnsi="Arial" w:cs="Arial"/>
          <w:b/>
          <w:bCs/>
        </w:rPr>
        <w:t>Immobiliare.it Insights</w:t>
      </w:r>
      <w:r w:rsidR="009D15A4">
        <w:rPr>
          <w:rFonts w:ascii="Arial" w:hAnsi="Arial" w:cs="Arial"/>
        </w:rPr>
        <w:t xml:space="preserve">, la proptech company del gruppo di </w:t>
      </w:r>
      <w:hyperlink r:id="rId8" w:history="1">
        <w:r w:rsidR="009D15A4" w:rsidRPr="00185F13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="009D15A4">
        <w:rPr>
          <w:rStyle w:val="Collegamentoipertestuale"/>
          <w:rFonts w:ascii="Arial" w:hAnsi="Arial" w:cs="Arial"/>
          <w:color w:val="auto"/>
          <w:u w:val="none"/>
        </w:rPr>
        <w:t>, il portale immobiliare leader in Italia, specializzata in analisi di mercato e data intelligence,</w:t>
      </w:r>
      <w:r w:rsidR="006D0270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9D15A4">
        <w:rPr>
          <w:rStyle w:val="Collegamentoipertestuale"/>
          <w:rFonts w:ascii="Arial" w:hAnsi="Arial" w:cs="Arial"/>
          <w:color w:val="auto"/>
          <w:u w:val="none"/>
        </w:rPr>
        <w:t xml:space="preserve">ha </w:t>
      </w:r>
      <w:r w:rsidR="009D15A4" w:rsidRPr="00800F5E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analizzato </w:t>
      </w:r>
      <w:r w:rsidR="006D0270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proprio </w:t>
      </w:r>
      <w:r w:rsidR="009D15A4" w:rsidRPr="00800F5E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l’andamento dell’offerta di stanze </w:t>
      </w:r>
      <w:r w:rsidR="009D15A4">
        <w:rPr>
          <w:rStyle w:val="Collegamentoipertestuale"/>
          <w:rFonts w:ascii="Arial" w:hAnsi="Arial" w:cs="Arial"/>
          <w:b/>
          <w:bCs/>
          <w:color w:val="auto"/>
          <w:u w:val="none"/>
        </w:rPr>
        <w:t>dal 2019</w:t>
      </w:r>
      <w:r w:rsidR="007044D4">
        <w:rPr>
          <w:rStyle w:val="Collegamentoipertestuale"/>
          <w:rFonts w:ascii="Arial" w:hAnsi="Arial" w:cs="Arial"/>
          <w:b/>
          <w:bCs/>
          <w:color w:val="auto"/>
          <w:u w:val="none"/>
        </w:rPr>
        <w:t>*</w:t>
      </w:r>
      <w:r w:rsidR="009D15A4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 </w:t>
      </w:r>
      <w:r w:rsidR="009D15A4" w:rsidRPr="00800F5E">
        <w:rPr>
          <w:rStyle w:val="Collegamentoipertestuale"/>
          <w:rFonts w:ascii="Arial" w:hAnsi="Arial" w:cs="Arial"/>
          <w:b/>
          <w:bCs/>
          <w:color w:val="auto"/>
          <w:u w:val="none"/>
        </w:rPr>
        <w:t>nei principali centri universitari italiani</w:t>
      </w:r>
      <w:r w:rsidR="009D15A4">
        <w:rPr>
          <w:rStyle w:val="Collegamentoipertestuale"/>
          <w:rFonts w:ascii="Arial" w:hAnsi="Arial" w:cs="Arial"/>
          <w:color w:val="auto"/>
          <w:u w:val="none"/>
        </w:rPr>
        <w:t>, sia di grandi che di piccole dimensioni.</w:t>
      </w:r>
    </w:p>
    <w:p w14:paraId="5181ACA2" w14:textId="3A5AAFE6" w:rsidR="006D0270" w:rsidRDefault="006D0270" w:rsidP="006D0270">
      <w:pPr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Guardando allo stock di immobili in locazione nelle città analizzate, quelle dove si registra in proporzione il maggior numero di stanze rispetto all’offerta totale in affitto sono </w:t>
      </w:r>
      <w:r w:rsidRPr="006D0270">
        <w:rPr>
          <w:rStyle w:val="Collegamentoipertestuale"/>
          <w:rFonts w:ascii="Arial" w:hAnsi="Arial" w:cs="Arial"/>
          <w:b/>
          <w:bCs/>
          <w:color w:val="auto"/>
          <w:u w:val="none"/>
        </w:rPr>
        <w:t>Catania,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Pr="007B48AE">
        <w:rPr>
          <w:rFonts w:ascii="Arial" w:hAnsi="Arial" w:cs="Arial"/>
          <w:b/>
          <w:bCs/>
        </w:rPr>
        <w:t>Bari e Verona</w:t>
      </w:r>
      <w:r>
        <w:rPr>
          <w:rFonts w:ascii="Arial" w:hAnsi="Arial" w:cs="Arial"/>
          <w:b/>
          <w:bCs/>
        </w:rPr>
        <w:t>, con percentuali rispettivamente del</w:t>
      </w:r>
      <w:r w:rsidRPr="007B48AE">
        <w:rPr>
          <w:rFonts w:ascii="Arial" w:hAnsi="Arial" w:cs="Arial"/>
          <w:b/>
          <w:bCs/>
        </w:rPr>
        <w:t xml:space="preserve"> 20%, 18% e 15</w:t>
      </w:r>
      <w:r w:rsidR="00F16385">
        <w:rPr>
          <w:rFonts w:ascii="Arial" w:hAnsi="Arial" w:cs="Arial"/>
          <w:b/>
          <w:bCs/>
        </w:rPr>
        <w:t>%</w:t>
      </w:r>
      <w:r>
        <w:rPr>
          <w:rFonts w:ascii="Arial" w:hAnsi="Arial" w:cs="Arial"/>
          <w:b/>
          <w:bCs/>
        </w:rPr>
        <w:t xml:space="preserve">. </w:t>
      </w:r>
      <w:r w:rsidRPr="006D02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Roma e Torino il valore si ferma attorno all’8%, mentre a Milano e Bologna scende al 6%. A Venezia, Firenze e Palermo le stanze rappresentano il 5% circa dello stock totale proposto in locazione sui rispettivi territori, mentre a Genova solo il 3%.</w:t>
      </w:r>
    </w:p>
    <w:p w14:paraId="75A067A9" w14:textId="582B1B38" w:rsidR="006D0270" w:rsidRDefault="006D0270" w:rsidP="006D0270">
      <w:pPr>
        <w:jc w:val="both"/>
        <w:rPr>
          <w:rFonts w:ascii="Arial" w:hAnsi="Arial" w:cs="Arial"/>
          <w:i/>
          <w:iCs/>
        </w:rPr>
      </w:pPr>
      <w:r w:rsidRPr="006D0270"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</w:rPr>
        <w:t>Nei centri del Sud, o nelle città più piccole, dove i prezzi delle case in vendita sono più accessibili, le famiglie residenti tendono maggiormente a essere proprietari</w:t>
      </w:r>
      <w:r w:rsidR="009C543E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 e cercare quindi soluzioni in acquisto, piuttosto che in affitto</w:t>
      </w:r>
      <w:r w:rsidR="009C543E">
        <w:rPr>
          <w:rFonts w:ascii="Arial" w:hAnsi="Arial" w:cs="Arial"/>
          <w:i/>
          <w:iCs/>
        </w:rPr>
        <w:t xml:space="preserve"> – </w:t>
      </w:r>
      <w:r w:rsidR="009C543E" w:rsidRPr="006D0270">
        <w:rPr>
          <w:rFonts w:ascii="Arial" w:hAnsi="Arial" w:cs="Arial"/>
        </w:rPr>
        <w:t>commenta</w:t>
      </w:r>
      <w:r w:rsidR="009C543E">
        <w:rPr>
          <w:rFonts w:ascii="Arial" w:hAnsi="Arial" w:cs="Arial"/>
        </w:rPr>
        <w:t xml:space="preserve"> </w:t>
      </w:r>
      <w:r w:rsidR="009C543E" w:rsidRPr="006D0270">
        <w:rPr>
          <w:rFonts w:ascii="Arial" w:hAnsi="Arial" w:cs="Arial"/>
          <w:b/>
          <w:bCs/>
        </w:rPr>
        <w:t>Antonio Intini, Chief Business Development Officer</w:t>
      </w:r>
      <w:r w:rsidR="009C543E" w:rsidRPr="006D0270">
        <w:rPr>
          <w:rFonts w:ascii="Arial" w:hAnsi="Arial" w:cs="Arial"/>
        </w:rPr>
        <w:t xml:space="preserve"> </w:t>
      </w:r>
      <w:r w:rsidR="009C543E" w:rsidRPr="006D0270">
        <w:rPr>
          <w:rFonts w:ascii="Arial" w:hAnsi="Arial" w:cs="Arial"/>
          <w:b/>
          <w:bCs/>
        </w:rPr>
        <w:t>di Immobiliare.it</w:t>
      </w:r>
      <w:r w:rsidR="009C543E" w:rsidRPr="009C543E">
        <w:rPr>
          <w:rFonts w:ascii="Arial" w:hAnsi="Arial" w:cs="Arial"/>
        </w:rPr>
        <w:t xml:space="preserve"> </w:t>
      </w:r>
      <w:r w:rsidR="009C543E">
        <w:rPr>
          <w:rFonts w:ascii="Arial" w:hAnsi="Arial" w:cs="Arial"/>
        </w:rPr>
        <w:t>–</w:t>
      </w:r>
      <w:r>
        <w:rPr>
          <w:rFonts w:ascii="Arial" w:hAnsi="Arial" w:cs="Arial"/>
          <w:i/>
          <w:iCs/>
        </w:rPr>
        <w:t xml:space="preserve"> </w:t>
      </w:r>
      <w:r w:rsidR="009C543E">
        <w:rPr>
          <w:rFonts w:ascii="Arial" w:hAnsi="Arial" w:cs="Arial"/>
          <w:i/>
          <w:iCs/>
        </w:rPr>
        <w:t>Questo porta così i proprietari di immobili da locare a preferire principalmente un target di studenti, o lavoratori fuori sede, porzionando l’appartamento e ottenendo così un maggior ritorno economico, oltre che più appetibilità sul mercato</w:t>
      </w:r>
      <w:r w:rsidR="009C543E" w:rsidRPr="006D0270">
        <w:rPr>
          <w:rFonts w:ascii="Arial" w:hAnsi="Arial" w:cs="Arial"/>
          <w:i/>
          <w:iCs/>
        </w:rPr>
        <w:t>».</w:t>
      </w:r>
    </w:p>
    <w:p w14:paraId="4A0F6FC0" w14:textId="54C01758" w:rsidR="006D0270" w:rsidRPr="009C543E" w:rsidRDefault="009C543E" w:rsidP="009D15A4">
      <w:pPr>
        <w:jc w:val="both"/>
        <w:rPr>
          <w:rStyle w:val="Collegamentoipertestuale"/>
          <w:rFonts w:ascii="Arial" w:hAnsi="Arial" w:cs="Arial"/>
          <w:b/>
          <w:bCs/>
          <w:color w:val="auto"/>
          <w:u w:val="none"/>
        </w:rPr>
      </w:pPr>
      <w:r w:rsidRPr="009C543E">
        <w:rPr>
          <w:rStyle w:val="Collegamentoipertestuale"/>
          <w:rFonts w:ascii="Arial" w:hAnsi="Arial" w:cs="Arial"/>
          <w:b/>
          <w:bCs/>
          <w:color w:val="auto"/>
          <w:u w:val="none"/>
        </w:rPr>
        <w:t>L’andamento dell’offerta a livello nazionale</w:t>
      </w:r>
    </w:p>
    <w:p w14:paraId="1ECD63C0" w14:textId="60038F07" w:rsidR="007D4FBE" w:rsidRDefault="007D4FBE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Quando si parla di stanze per studenti </w:t>
      </w:r>
      <w:r w:rsidRPr="00D04740">
        <w:rPr>
          <w:rFonts w:ascii="Arial" w:hAnsi="Arial" w:cs="Arial"/>
          <w:b/>
          <w:bCs/>
        </w:rPr>
        <w:t>Milano</w:t>
      </w:r>
      <w:r>
        <w:rPr>
          <w:rFonts w:ascii="Arial" w:hAnsi="Arial" w:cs="Arial"/>
        </w:rPr>
        <w:t xml:space="preserve"> rimane saldamente in testa alla </w:t>
      </w:r>
      <w:r w:rsidR="00D04740">
        <w:rPr>
          <w:rFonts w:ascii="Arial" w:hAnsi="Arial" w:cs="Arial"/>
        </w:rPr>
        <w:t>classi</w:t>
      </w:r>
      <w:r w:rsidR="00334FB2">
        <w:rPr>
          <w:rFonts w:ascii="Arial" w:hAnsi="Arial" w:cs="Arial"/>
        </w:rPr>
        <w:t>fi</w:t>
      </w:r>
      <w:r w:rsidR="00D04740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non solo rispetto al prezzo medio di una singola – che ha ormai toccato quota </w:t>
      </w:r>
      <w:r w:rsidRPr="00D04740">
        <w:rPr>
          <w:rFonts w:ascii="Arial" w:hAnsi="Arial" w:cs="Arial"/>
          <w:b/>
          <w:bCs/>
        </w:rPr>
        <w:t>700 euro</w:t>
      </w:r>
      <w:r w:rsidR="00D04740">
        <w:rPr>
          <w:rFonts w:ascii="Arial" w:hAnsi="Arial" w:cs="Arial"/>
          <w:b/>
          <w:bCs/>
        </w:rPr>
        <w:t xml:space="preserve"> al mese</w:t>
      </w:r>
      <w:r>
        <w:rPr>
          <w:rFonts w:ascii="Arial" w:hAnsi="Arial" w:cs="Arial"/>
        </w:rPr>
        <w:t xml:space="preserve"> </w:t>
      </w:r>
      <w:r w:rsidR="00D0474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04740">
        <w:rPr>
          <w:rFonts w:ascii="Arial" w:hAnsi="Arial" w:cs="Arial"/>
        </w:rPr>
        <w:t xml:space="preserve">ma anche per quanto riguarda l’offerta: il capoluogo meneghino, infatti, accentra ben il </w:t>
      </w:r>
      <w:r w:rsidR="00D04740" w:rsidRPr="00D04740">
        <w:rPr>
          <w:rFonts w:ascii="Arial" w:hAnsi="Arial" w:cs="Arial"/>
          <w:b/>
          <w:bCs/>
        </w:rPr>
        <w:t xml:space="preserve">21,6% della disponibilità totale di </w:t>
      </w:r>
      <w:r w:rsidR="00D04740">
        <w:rPr>
          <w:rFonts w:ascii="Arial" w:hAnsi="Arial" w:cs="Arial"/>
          <w:b/>
          <w:bCs/>
        </w:rPr>
        <w:t>stanze</w:t>
      </w:r>
      <w:r w:rsidR="00D04740" w:rsidRPr="00D04740">
        <w:rPr>
          <w:rFonts w:ascii="Arial" w:hAnsi="Arial" w:cs="Arial"/>
          <w:b/>
          <w:bCs/>
        </w:rPr>
        <w:t xml:space="preserve"> nel Paese</w:t>
      </w:r>
      <w:r w:rsidR="00D04740">
        <w:rPr>
          <w:rFonts w:ascii="Arial" w:hAnsi="Arial" w:cs="Arial"/>
        </w:rPr>
        <w:t>.</w:t>
      </w:r>
    </w:p>
    <w:p w14:paraId="527972C7" w14:textId="6265BDF7" w:rsidR="00D04740" w:rsidRDefault="00D04740" w:rsidP="00757C55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Tuttavia, non si tratta della città universitaria </w:t>
      </w:r>
      <w:r w:rsidR="00800F5E">
        <w:rPr>
          <w:rFonts w:ascii="Arial" w:hAnsi="Arial" w:cs="Arial"/>
        </w:rPr>
        <w:t xml:space="preserve">di grandi dimensioni </w:t>
      </w:r>
      <w:r>
        <w:rPr>
          <w:rFonts w:ascii="Arial" w:hAnsi="Arial" w:cs="Arial"/>
        </w:rPr>
        <w:t xml:space="preserve">dove lo stock di stanze è cresciuto maggiormente </w:t>
      </w:r>
      <w:r w:rsidR="00334FB2">
        <w:rPr>
          <w:rFonts w:ascii="Arial" w:hAnsi="Arial" w:cs="Arial"/>
        </w:rPr>
        <w:t>nei 4</w:t>
      </w:r>
      <w:r>
        <w:rPr>
          <w:rFonts w:ascii="Arial" w:hAnsi="Arial" w:cs="Arial"/>
        </w:rPr>
        <w:t xml:space="preserve"> anni</w:t>
      </w:r>
      <w:r w:rsidR="00334FB2">
        <w:rPr>
          <w:rFonts w:ascii="Arial" w:hAnsi="Arial" w:cs="Arial"/>
        </w:rPr>
        <w:t xml:space="preserve"> considerati</w:t>
      </w:r>
      <w:r w:rsidR="00800F5E">
        <w:rPr>
          <w:rFonts w:ascii="Arial" w:hAnsi="Arial" w:cs="Arial"/>
        </w:rPr>
        <w:t xml:space="preserve">: il primato spetta infatti a </w:t>
      </w:r>
      <w:r w:rsidR="00800F5E" w:rsidRPr="00800F5E">
        <w:rPr>
          <w:rFonts w:ascii="Arial" w:hAnsi="Arial" w:cs="Arial"/>
          <w:b/>
          <w:bCs/>
        </w:rPr>
        <w:t>Venezia</w:t>
      </w:r>
      <w:r w:rsidR="00800F5E">
        <w:rPr>
          <w:rFonts w:ascii="Arial" w:hAnsi="Arial" w:cs="Arial"/>
        </w:rPr>
        <w:t xml:space="preserve"> dove</w:t>
      </w:r>
      <w:r w:rsidR="0073017C">
        <w:rPr>
          <w:rFonts w:ascii="Arial" w:hAnsi="Arial" w:cs="Arial"/>
        </w:rPr>
        <w:t>,</w:t>
      </w:r>
      <w:r w:rsidR="00800F5E">
        <w:rPr>
          <w:rFonts w:ascii="Arial" w:hAnsi="Arial" w:cs="Arial"/>
        </w:rPr>
        <w:t xml:space="preserve"> rispetto al 2019</w:t>
      </w:r>
      <w:r w:rsidR="0073017C">
        <w:rPr>
          <w:rFonts w:ascii="Arial" w:hAnsi="Arial" w:cs="Arial"/>
        </w:rPr>
        <w:t>,</w:t>
      </w:r>
      <w:r w:rsidR="00800F5E">
        <w:rPr>
          <w:rFonts w:ascii="Arial" w:hAnsi="Arial" w:cs="Arial"/>
        </w:rPr>
        <w:t xml:space="preserve"> la disponibilità di stanze è cresciuta </w:t>
      </w:r>
      <w:r w:rsidR="009D15A4">
        <w:rPr>
          <w:rFonts w:ascii="Arial" w:hAnsi="Arial" w:cs="Arial"/>
        </w:rPr>
        <w:t>di oltre cinque volte.</w:t>
      </w:r>
      <w:r w:rsidR="00800F5E">
        <w:rPr>
          <w:rFonts w:ascii="Arial" w:hAnsi="Arial" w:cs="Arial"/>
        </w:rPr>
        <w:t xml:space="preserve"> </w:t>
      </w:r>
    </w:p>
    <w:p w14:paraId="379B3624" w14:textId="2DD5FF57" w:rsidR="0073017C" w:rsidRDefault="000418B8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3017C">
        <w:rPr>
          <w:rFonts w:ascii="Arial" w:hAnsi="Arial" w:cs="Arial"/>
        </w:rPr>
        <w:t xml:space="preserve">l secondo posto troviamo </w:t>
      </w:r>
      <w:r w:rsidR="0073017C" w:rsidRPr="007D3A6A">
        <w:rPr>
          <w:rFonts w:ascii="Arial" w:hAnsi="Arial" w:cs="Arial"/>
          <w:b/>
          <w:bCs/>
        </w:rPr>
        <w:t>Roma</w:t>
      </w:r>
      <w:r w:rsidR="0073017C">
        <w:rPr>
          <w:rFonts w:ascii="Arial" w:hAnsi="Arial" w:cs="Arial"/>
        </w:rPr>
        <w:t xml:space="preserve">, che raccoglie il 17,4% dell’offerta totale </w:t>
      </w:r>
      <w:r w:rsidR="0073017C" w:rsidRPr="00C907F9">
        <w:rPr>
          <w:rFonts w:ascii="Arial" w:hAnsi="Arial" w:cs="Arial"/>
        </w:rPr>
        <w:t>di stanze in Italia</w:t>
      </w:r>
      <w:r w:rsidR="0073017C">
        <w:rPr>
          <w:rFonts w:ascii="Arial" w:hAnsi="Arial" w:cs="Arial"/>
        </w:rPr>
        <w:t>, anche se</w:t>
      </w:r>
      <w:r w:rsidR="00334FB2">
        <w:rPr>
          <w:rFonts w:ascii="Arial" w:hAnsi="Arial" w:cs="Arial"/>
        </w:rPr>
        <w:t>,</w:t>
      </w:r>
      <w:r w:rsidR="0073017C">
        <w:rPr>
          <w:rFonts w:ascii="Arial" w:hAnsi="Arial" w:cs="Arial"/>
        </w:rPr>
        <w:t xml:space="preserve"> rispetto a</w:t>
      </w:r>
      <w:r w:rsidR="007D3A6A">
        <w:rPr>
          <w:rFonts w:ascii="Arial" w:hAnsi="Arial" w:cs="Arial"/>
        </w:rPr>
        <w:t>l 2019</w:t>
      </w:r>
      <w:r w:rsidR="00334FB2">
        <w:rPr>
          <w:rFonts w:ascii="Arial" w:hAnsi="Arial" w:cs="Arial"/>
        </w:rPr>
        <w:t>,</w:t>
      </w:r>
      <w:r w:rsidR="007D3A6A">
        <w:rPr>
          <w:rFonts w:ascii="Arial" w:hAnsi="Arial" w:cs="Arial"/>
        </w:rPr>
        <w:t xml:space="preserve"> risulta in crescita solo del 10%</w:t>
      </w:r>
      <w:r w:rsidR="00334FB2">
        <w:rPr>
          <w:rFonts w:ascii="Arial" w:hAnsi="Arial" w:cs="Arial"/>
        </w:rPr>
        <w:t>, mentre il capoluogo meneghino ha visto un aumento del 367%</w:t>
      </w:r>
      <w:r w:rsidR="007D3A6A">
        <w:rPr>
          <w:rFonts w:ascii="Arial" w:hAnsi="Arial" w:cs="Arial"/>
        </w:rPr>
        <w:t xml:space="preserve">. Chiude il podio, con una percentuale di molto inferiore, </w:t>
      </w:r>
      <w:r w:rsidR="007D3A6A" w:rsidRPr="007D3A6A">
        <w:rPr>
          <w:rFonts w:ascii="Arial" w:hAnsi="Arial" w:cs="Arial"/>
          <w:b/>
          <w:bCs/>
        </w:rPr>
        <w:t>Torino</w:t>
      </w:r>
      <w:r w:rsidR="007D3A6A">
        <w:rPr>
          <w:rFonts w:ascii="Arial" w:hAnsi="Arial" w:cs="Arial"/>
        </w:rPr>
        <w:t>, al 6,2%, dove però lo stock negli anni è quasi triplicato (+186%).</w:t>
      </w:r>
    </w:p>
    <w:p w14:paraId="42856478" w14:textId="352A4F76" w:rsidR="007D3A6A" w:rsidRDefault="007D3A6A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quarto posto si colloca invece </w:t>
      </w:r>
      <w:r w:rsidRPr="007D3A6A">
        <w:rPr>
          <w:rFonts w:ascii="Arial" w:hAnsi="Arial" w:cs="Arial"/>
          <w:b/>
          <w:bCs/>
        </w:rPr>
        <w:t>Bologna</w:t>
      </w:r>
      <w:r>
        <w:rPr>
          <w:rFonts w:ascii="Arial" w:hAnsi="Arial" w:cs="Arial"/>
        </w:rPr>
        <w:t>, importante centro universitario italiano, dove si concentra il 4,4% dell</w:t>
      </w:r>
      <w:r w:rsidR="00540071">
        <w:rPr>
          <w:rFonts w:ascii="Arial" w:hAnsi="Arial" w:cs="Arial"/>
        </w:rPr>
        <w:t>a disponibilità</w:t>
      </w:r>
      <w:r>
        <w:rPr>
          <w:rFonts w:ascii="Arial" w:hAnsi="Arial" w:cs="Arial"/>
        </w:rPr>
        <w:t xml:space="preserve"> di stanze della Penisola: qui l’offerta è cresciuta addirittura di 4 volte nell’arco di tempo analizzato (+289%). </w:t>
      </w:r>
      <w:r w:rsidRPr="007D3A6A">
        <w:rPr>
          <w:rFonts w:ascii="Arial" w:hAnsi="Arial" w:cs="Arial"/>
          <w:b/>
          <w:bCs/>
        </w:rPr>
        <w:t>Firenze</w:t>
      </w:r>
      <w:r>
        <w:rPr>
          <w:rFonts w:ascii="Arial" w:hAnsi="Arial" w:cs="Arial"/>
        </w:rPr>
        <w:t xml:space="preserve"> segue al 2%, con una crescita molto meno pronunciata nel periodo, +65%.</w:t>
      </w:r>
    </w:p>
    <w:p w14:paraId="54F8D4B9" w14:textId="79386AE7" w:rsidR="007D3A6A" w:rsidRDefault="007D3A6A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percentuali di stock ancora superiori all’1% </w:t>
      </w:r>
      <w:r w:rsidR="004B368D">
        <w:rPr>
          <w:rFonts w:ascii="Arial" w:hAnsi="Arial" w:cs="Arial"/>
        </w:rPr>
        <w:t xml:space="preserve">rispetto al totale Italia </w:t>
      </w:r>
      <w:r>
        <w:rPr>
          <w:rFonts w:ascii="Arial" w:hAnsi="Arial" w:cs="Arial"/>
        </w:rPr>
        <w:t xml:space="preserve">ci sono poi </w:t>
      </w:r>
      <w:r w:rsidRPr="004B368D">
        <w:rPr>
          <w:rFonts w:ascii="Arial" w:hAnsi="Arial" w:cs="Arial"/>
          <w:b/>
          <w:bCs/>
        </w:rPr>
        <w:t>Verona</w:t>
      </w:r>
      <w:r>
        <w:rPr>
          <w:rFonts w:ascii="Arial" w:hAnsi="Arial" w:cs="Arial"/>
        </w:rPr>
        <w:t xml:space="preserve"> (1,9%)</w:t>
      </w:r>
      <w:r w:rsidR="004B368D">
        <w:rPr>
          <w:rFonts w:ascii="Arial" w:hAnsi="Arial" w:cs="Arial"/>
        </w:rPr>
        <w:t xml:space="preserve"> – dove la disponibilità di stanze è aumentata di quasi 5 volte rispetto al 2019 (+388%) – </w:t>
      </w:r>
      <w:r w:rsidR="004B368D" w:rsidRPr="004B368D">
        <w:rPr>
          <w:rFonts w:ascii="Arial" w:hAnsi="Arial" w:cs="Arial"/>
          <w:b/>
          <w:bCs/>
        </w:rPr>
        <w:t>Napoli</w:t>
      </w:r>
      <w:r w:rsidR="004B368D">
        <w:rPr>
          <w:rFonts w:ascii="Arial" w:hAnsi="Arial" w:cs="Arial"/>
        </w:rPr>
        <w:t xml:space="preserve"> (1,8%), </w:t>
      </w:r>
      <w:r w:rsidR="004B368D" w:rsidRPr="004B368D">
        <w:rPr>
          <w:rFonts w:ascii="Arial" w:hAnsi="Arial" w:cs="Arial"/>
          <w:b/>
          <w:bCs/>
        </w:rPr>
        <w:t>Genova</w:t>
      </w:r>
      <w:r w:rsidR="004B368D">
        <w:rPr>
          <w:rFonts w:ascii="Arial" w:hAnsi="Arial" w:cs="Arial"/>
        </w:rPr>
        <w:t xml:space="preserve"> (1,4%) – qui l’offerta è raddoppiata – e </w:t>
      </w:r>
      <w:r w:rsidR="004B368D" w:rsidRPr="004B368D">
        <w:rPr>
          <w:rFonts w:ascii="Arial" w:hAnsi="Arial" w:cs="Arial"/>
          <w:b/>
          <w:bCs/>
        </w:rPr>
        <w:t>Catania</w:t>
      </w:r>
      <w:r w:rsidR="004B368D">
        <w:rPr>
          <w:rFonts w:ascii="Arial" w:hAnsi="Arial" w:cs="Arial"/>
        </w:rPr>
        <w:t xml:space="preserve"> (1,3%).</w:t>
      </w:r>
    </w:p>
    <w:p w14:paraId="777BAA47" w14:textId="77E8840A" w:rsidR="004B368D" w:rsidRDefault="004B368D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Invece a </w:t>
      </w:r>
      <w:r w:rsidRPr="00D20AB7">
        <w:rPr>
          <w:rFonts w:ascii="Arial" w:hAnsi="Arial" w:cs="Arial"/>
          <w:b/>
          <w:bCs/>
        </w:rPr>
        <w:t>Bari</w:t>
      </w:r>
      <w:r>
        <w:rPr>
          <w:rFonts w:ascii="Arial" w:hAnsi="Arial" w:cs="Arial"/>
        </w:rPr>
        <w:t xml:space="preserve">, </w:t>
      </w:r>
      <w:r w:rsidRPr="00D20AB7">
        <w:rPr>
          <w:rFonts w:ascii="Arial" w:hAnsi="Arial" w:cs="Arial"/>
          <w:b/>
          <w:bCs/>
        </w:rPr>
        <w:t>Palermo</w:t>
      </w:r>
      <w:r>
        <w:rPr>
          <w:rFonts w:ascii="Arial" w:hAnsi="Arial" w:cs="Arial"/>
        </w:rPr>
        <w:t xml:space="preserve"> e </w:t>
      </w:r>
      <w:r w:rsidRPr="00D20AB7">
        <w:rPr>
          <w:rFonts w:ascii="Arial" w:hAnsi="Arial" w:cs="Arial"/>
          <w:b/>
          <w:bCs/>
        </w:rPr>
        <w:t>Venezia</w:t>
      </w:r>
      <w:r>
        <w:rPr>
          <w:rFonts w:ascii="Arial" w:hAnsi="Arial" w:cs="Arial"/>
        </w:rPr>
        <w:t xml:space="preserve"> l’offerta di stanze rispetto alla disponibilità totale del Paese si ferma appena al disotto dell’1</w:t>
      </w:r>
      <w:r w:rsidR="00D20AB7">
        <w:rPr>
          <w:rFonts w:ascii="Arial" w:hAnsi="Arial" w:cs="Arial"/>
        </w:rPr>
        <w:t>%,</w:t>
      </w:r>
      <w:r>
        <w:rPr>
          <w:rFonts w:ascii="Arial" w:hAnsi="Arial" w:cs="Arial"/>
        </w:rPr>
        <w:t xml:space="preserve"> sebbene, come visto, Venezia abbia evidenziato il maggior incremento rispetto</w:t>
      </w:r>
      <w:r w:rsidR="00D20AB7">
        <w:rPr>
          <w:rFonts w:ascii="Arial" w:hAnsi="Arial" w:cs="Arial"/>
        </w:rPr>
        <w:t xml:space="preserve"> a 4 anni fa.</w:t>
      </w:r>
    </w:p>
    <w:p w14:paraId="3229197E" w14:textId="25B60028" w:rsidR="00334FB2" w:rsidRPr="00127277" w:rsidRDefault="007C6B54" w:rsidP="00757C55">
      <w:pPr>
        <w:jc w:val="both"/>
        <w:rPr>
          <w:rFonts w:ascii="Arial" w:hAnsi="Arial" w:cs="Arial"/>
          <w:i/>
          <w:iCs/>
        </w:rPr>
      </w:pPr>
      <w:r w:rsidRPr="009C543E">
        <w:rPr>
          <w:rFonts w:ascii="Arial" w:hAnsi="Arial" w:cs="Arial"/>
          <w:i/>
          <w:iCs/>
        </w:rPr>
        <w:t>«</w:t>
      </w:r>
      <w:r w:rsidR="00334FB2" w:rsidRPr="009C543E">
        <w:rPr>
          <w:rFonts w:ascii="Arial" w:hAnsi="Arial" w:cs="Arial"/>
          <w:i/>
          <w:iCs/>
        </w:rPr>
        <w:t xml:space="preserve">L’offerta </w:t>
      </w:r>
      <w:r w:rsidR="00D26C02" w:rsidRPr="009C543E">
        <w:rPr>
          <w:rFonts w:ascii="Arial" w:hAnsi="Arial" w:cs="Arial"/>
          <w:i/>
          <w:iCs/>
        </w:rPr>
        <w:t xml:space="preserve">di stanze </w:t>
      </w:r>
      <w:r w:rsidRPr="009C543E">
        <w:rPr>
          <w:rFonts w:ascii="Arial" w:hAnsi="Arial" w:cs="Arial"/>
          <w:i/>
          <w:iCs/>
        </w:rPr>
        <w:t>continua ad aumentare</w:t>
      </w:r>
      <w:r w:rsidR="00D26C02" w:rsidRPr="009C543E">
        <w:rPr>
          <w:rFonts w:ascii="Arial" w:hAnsi="Arial" w:cs="Arial"/>
          <w:i/>
          <w:iCs/>
        </w:rPr>
        <w:t xml:space="preserve"> in tutto il territorio nazionale</w:t>
      </w:r>
      <w:r w:rsidR="00334FB2" w:rsidRPr="009C543E">
        <w:rPr>
          <w:rFonts w:ascii="Arial" w:hAnsi="Arial" w:cs="Arial"/>
          <w:i/>
          <w:iCs/>
        </w:rPr>
        <w:t xml:space="preserve"> </w:t>
      </w:r>
      <w:r w:rsidR="00334FB2" w:rsidRPr="009C543E">
        <w:rPr>
          <w:rFonts w:ascii="Arial" w:hAnsi="Arial" w:cs="Arial"/>
        </w:rPr>
        <w:t xml:space="preserve">– </w:t>
      </w:r>
      <w:r w:rsidR="009C543E">
        <w:rPr>
          <w:rFonts w:ascii="Arial" w:hAnsi="Arial" w:cs="Arial"/>
        </w:rPr>
        <w:t>continua</w:t>
      </w:r>
      <w:r w:rsidR="00334FB2" w:rsidRPr="009C543E">
        <w:rPr>
          <w:rFonts w:ascii="Arial" w:hAnsi="Arial" w:cs="Arial"/>
        </w:rPr>
        <w:t xml:space="preserve"> </w:t>
      </w:r>
      <w:r w:rsidR="00334FB2" w:rsidRPr="009C543E">
        <w:rPr>
          <w:rFonts w:ascii="Arial" w:hAnsi="Arial" w:cs="Arial"/>
          <w:b/>
          <w:bCs/>
        </w:rPr>
        <w:t>Antonio Intini, Chief Business Development Officer</w:t>
      </w:r>
      <w:r w:rsidR="00334FB2" w:rsidRPr="009C543E">
        <w:rPr>
          <w:rFonts w:ascii="Arial" w:hAnsi="Arial" w:cs="Arial"/>
        </w:rPr>
        <w:t xml:space="preserve"> </w:t>
      </w:r>
      <w:r w:rsidR="00334FB2" w:rsidRPr="009C543E">
        <w:rPr>
          <w:rFonts w:ascii="Arial" w:hAnsi="Arial" w:cs="Arial"/>
          <w:b/>
          <w:bCs/>
        </w:rPr>
        <w:t>di Immobiliare.it</w:t>
      </w:r>
      <w:r w:rsidR="00334FB2" w:rsidRPr="009C543E">
        <w:rPr>
          <w:rFonts w:ascii="Arial" w:hAnsi="Arial" w:cs="Arial"/>
        </w:rPr>
        <w:t xml:space="preserve"> – </w:t>
      </w:r>
      <w:r w:rsidRPr="009C543E">
        <w:rPr>
          <w:rFonts w:ascii="Arial" w:hAnsi="Arial" w:cs="Arial"/>
          <w:i/>
          <w:iCs/>
        </w:rPr>
        <w:t xml:space="preserve">Sicuramente questa crescita è dovuta anche a un progressivo fenomeno di “industrializzazione” del settore che si è verificato negli ultimi anni, con l’entrata nel mercato di società che si occupano esclusivamente di proporre agli utenti camere da affittare. Infatti, i privati proprietari, che prima tendevano a gestire da soli gli appartamenti divisi in stanze di loro proprietà, ora si affidano </w:t>
      </w:r>
      <w:r w:rsidR="00F16385">
        <w:rPr>
          <w:rFonts w:ascii="Arial" w:hAnsi="Arial" w:cs="Arial"/>
          <w:i/>
          <w:iCs/>
        </w:rPr>
        <w:t xml:space="preserve">sempre più </w:t>
      </w:r>
      <w:r w:rsidRPr="009C543E">
        <w:rPr>
          <w:rFonts w:ascii="Arial" w:hAnsi="Arial" w:cs="Arial"/>
          <w:i/>
          <w:iCs/>
        </w:rPr>
        <w:t>ad agenzie esperte che si occupano di ogni aspetto connesso all’affitto, dalla manutenzione alle pratiche di ingresso e uscita degli inquilini</w:t>
      </w:r>
      <w:r w:rsidR="00127277" w:rsidRPr="009C543E">
        <w:rPr>
          <w:rFonts w:ascii="Arial" w:hAnsi="Arial" w:cs="Arial"/>
          <w:i/>
          <w:iCs/>
        </w:rPr>
        <w:t>».</w:t>
      </w:r>
    </w:p>
    <w:p w14:paraId="41EFA279" w14:textId="204F8B63" w:rsidR="00800F5E" w:rsidRDefault="0073017C" w:rsidP="00757C55">
      <w:pPr>
        <w:jc w:val="both"/>
        <w:rPr>
          <w:rFonts w:ascii="Arial" w:hAnsi="Arial" w:cs="Arial"/>
          <w:b/>
          <w:bCs/>
        </w:rPr>
      </w:pPr>
      <w:r w:rsidRPr="0073017C">
        <w:rPr>
          <w:rFonts w:ascii="Arial" w:hAnsi="Arial" w:cs="Arial"/>
          <w:b/>
          <w:bCs/>
        </w:rPr>
        <w:t>Uno sguardo ai q</w:t>
      </w:r>
      <w:r w:rsidR="00800F5E" w:rsidRPr="0073017C">
        <w:rPr>
          <w:rFonts w:ascii="Arial" w:hAnsi="Arial" w:cs="Arial"/>
          <w:b/>
          <w:bCs/>
        </w:rPr>
        <w:t>uartieri</w:t>
      </w:r>
      <w:r w:rsidR="00EA5168">
        <w:rPr>
          <w:rFonts w:ascii="Arial" w:hAnsi="Arial" w:cs="Arial"/>
          <w:b/>
          <w:bCs/>
        </w:rPr>
        <w:t>: Milano, Roma, Bologna e Napoli</w:t>
      </w:r>
    </w:p>
    <w:p w14:paraId="02F8B00F" w14:textId="2BBA3291" w:rsidR="007B48AE" w:rsidRDefault="00A32E6E" w:rsidP="00757C55">
      <w:pPr>
        <w:jc w:val="both"/>
        <w:rPr>
          <w:rFonts w:ascii="Arial" w:hAnsi="Arial" w:cs="Arial"/>
        </w:rPr>
      </w:pPr>
      <w:r w:rsidRPr="00A32E6E">
        <w:rPr>
          <w:rFonts w:ascii="Arial" w:hAnsi="Arial" w:cs="Arial"/>
        </w:rPr>
        <w:t xml:space="preserve">Il quartiere </w:t>
      </w:r>
      <w:r>
        <w:rPr>
          <w:rFonts w:ascii="Arial" w:hAnsi="Arial" w:cs="Arial"/>
        </w:rPr>
        <w:t xml:space="preserve">di Milano dove si concentra la maggior offerta di stanze è </w:t>
      </w:r>
      <w:r w:rsidRPr="00A32E6E">
        <w:rPr>
          <w:rFonts w:ascii="Arial" w:hAnsi="Arial" w:cs="Arial"/>
          <w:b/>
          <w:bCs/>
        </w:rPr>
        <w:t>Città Studi</w:t>
      </w:r>
      <w:r>
        <w:rPr>
          <w:rFonts w:ascii="Arial" w:hAnsi="Arial" w:cs="Arial"/>
        </w:rPr>
        <w:t xml:space="preserve">, sede del famoso </w:t>
      </w:r>
      <w:r w:rsidR="009D15A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olitecnico, con il 6%; segue </w:t>
      </w:r>
      <w:r w:rsidRPr="00A32E6E">
        <w:rPr>
          <w:rFonts w:ascii="Arial" w:hAnsi="Arial" w:cs="Arial"/>
          <w:b/>
          <w:bCs/>
        </w:rPr>
        <w:t>Bovisa</w:t>
      </w:r>
      <w:r>
        <w:rPr>
          <w:rFonts w:ascii="Arial" w:hAnsi="Arial" w:cs="Arial"/>
        </w:rPr>
        <w:t xml:space="preserve">, che ospita una delle </w:t>
      </w:r>
      <w:r w:rsidR="00CF4240">
        <w:rPr>
          <w:rFonts w:ascii="Arial" w:hAnsi="Arial" w:cs="Arial"/>
        </w:rPr>
        <w:t xml:space="preserve">sue </w:t>
      </w:r>
      <w:r>
        <w:rPr>
          <w:rFonts w:ascii="Arial" w:hAnsi="Arial" w:cs="Arial"/>
        </w:rPr>
        <w:t>succursali, con il 3%.</w:t>
      </w:r>
    </w:p>
    <w:p w14:paraId="3589901B" w14:textId="513BF2EF" w:rsidR="00A32E6E" w:rsidRDefault="00A32E6E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riguarda Roma, è il quartiere </w:t>
      </w:r>
      <w:r w:rsidRPr="00544A2B">
        <w:rPr>
          <w:rFonts w:ascii="Arial" w:hAnsi="Arial" w:cs="Arial"/>
          <w:b/>
          <w:bCs/>
        </w:rPr>
        <w:t>Bologna</w:t>
      </w:r>
      <w:r>
        <w:rPr>
          <w:rFonts w:ascii="Arial" w:hAnsi="Arial" w:cs="Arial"/>
        </w:rPr>
        <w:t xml:space="preserve"> a ospitare la maggioranza</w:t>
      </w:r>
      <w:r w:rsidR="00544A2B">
        <w:rPr>
          <w:rFonts w:ascii="Arial" w:hAnsi="Arial" w:cs="Arial"/>
        </w:rPr>
        <w:t xml:space="preserve"> delle stanze, 6,2%, seguito da quello adiacente di </w:t>
      </w:r>
      <w:r w:rsidR="00544A2B" w:rsidRPr="00544A2B">
        <w:rPr>
          <w:rFonts w:ascii="Arial" w:hAnsi="Arial" w:cs="Arial"/>
          <w:b/>
          <w:bCs/>
        </w:rPr>
        <w:t>Africano-Villa Chigi</w:t>
      </w:r>
      <w:r w:rsidR="00544A2B">
        <w:rPr>
          <w:rFonts w:ascii="Arial" w:hAnsi="Arial" w:cs="Arial"/>
        </w:rPr>
        <w:t xml:space="preserve"> al 5,2%</w:t>
      </w:r>
      <w:r w:rsidR="000418B8">
        <w:rPr>
          <w:rFonts w:ascii="Arial" w:hAnsi="Arial" w:cs="Arial"/>
        </w:rPr>
        <w:t>:</w:t>
      </w:r>
      <w:r w:rsidR="00544A2B">
        <w:rPr>
          <w:rFonts w:ascii="Arial" w:hAnsi="Arial" w:cs="Arial"/>
        </w:rPr>
        <w:t xml:space="preserve"> </w:t>
      </w:r>
      <w:r w:rsidR="000418B8">
        <w:rPr>
          <w:rFonts w:ascii="Arial" w:hAnsi="Arial" w:cs="Arial"/>
        </w:rPr>
        <w:t>entrambi</w:t>
      </w:r>
      <w:r w:rsidR="00544A2B" w:rsidRPr="000418B8">
        <w:rPr>
          <w:rFonts w:ascii="Arial" w:hAnsi="Arial" w:cs="Arial"/>
        </w:rPr>
        <w:t xml:space="preserve"> si collocano</w:t>
      </w:r>
      <w:r w:rsidR="00544A2B">
        <w:rPr>
          <w:rFonts w:ascii="Arial" w:hAnsi="Arial" w:cs="Arial"/>
        </w:rPr>
        <w:t xml:space="preserve"> negli immediati dintorni dell’Università La Sapienza.</w:t>
      </w:r>
    </w:p>
    <w:p w14:paraId="6CDBC72F" w14:textId="1C949693" w:rsidR="00544A2B" w:rsidRDefault="00CD17B1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a Napoli le aree della città che vedono la maggior concentrazione di camere sono vicine a una sede universitaria, l’Azienda Ospedaliera Universitaria Federico II, ovvero </w:t>
      </w:r>
      <w:r w:rsidRPr="00CD17B1">
        <w:rPr>
          <w:rFonts w:ascii="Arial" w:hAnsi="Arial" w:cs="Arial"/>
          <w:b/>
          <w:bCs/>
        </w:rPr>
        <w:t>Arenella</w:t>
      </w:r>
      <w:r>
        <w:rPr>
          <w:rFonts w:ascii="Arial" w:hAnsi="Arial" w:cs="Arial"/>
        </w:rPr>
        <w:t xml:space="preserve"> (13%) e </w:t>
      </w:r>
      <w:r w:rsidRPr="00CD17B1">
        <w:rPr>
          <w:rFonts w:ascii="Arial" w:hAnsi="Arial" w:cs="Arial"/>
          <w:b/>
          <w:bCs/>
        </w:rPr>
        <w:t>Capodimonte</w:t>
      </w:r>
      <w:r>
        <w:rPr>
          <w:rFonts w:ascii="Arial" w:hAnsi="Arial" w:cs="Arial"/>
        </w:rPr>
        <w:t xml:space="preserve"> (7,4%).</w:t>
      </w:r>
    </w:p>
    <w:p w14:paraId="3E9382C5" w14:textId="2F5BCDC8" w:rsidR="00544A2B" w:rsidRPr="00A32E6E" w:rsidRDefault="00544A2B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Bologna, sicuramente un centro di dimensioni ridotte rispetto agli altri considerati, le zone della città con lo stock più elevato di stanze sono la </w:t>
      </w:r>
      <w:r w:rsidRPr="00544A2B">
        <w:rPr>
          <w:rFonts w:ascii="Arial" w:hAnsi="Arial" w:cs="Arial"/>
          <w:b/>
          <w:bCs/>
        </w:rPr>
        <w:t>Bolognina</w:t>
      </w:r>
      <w:r>
        <w:rPr>
          <w:rFonts w:ascii="Arial" w:hAnsi="Arial" w:cs="Arial"/>
        </w:rPr>
        <w:t xml:space="preserve"> (10%) e </w:t>
      </w:r>
      <w:r w:rsidRPr="00544A2B">
        <w:rPr>
          <w:rFonts w:ascii="Arial" w:hAnsi="Arial" w:cs="Arial"/>
          <w:b/>
          <w:bCs/>
        </w:rPr>
        <w:t>Massarenti</w:t>
      </w:r>
      <w:r>
        <w:rPr>
          <w:rFonts w:ascii="Arial" w:hAnsi="Arial" w:cs="Arial"/>
        </w:rPr>
        <w:t xml:space="preserve"> (9,7%) entramb</w:t>
      </w:r>
      <w:r w:rsidR="004B1C0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appena fuori dal centro storico cittadino.</w:t>
      </w:r>
    </w:p>
    <w:p w14:paraId="784D30D1" w14:textId="2D353F53" w:rsidR="00800F5E" w:rsidRDefault="004B368D" w:rsidP="00757C5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Cosa succede nei</w:t>
      </w:r>
      <w:r w:rsidR="00800F5E" w:rsidRPr="0073017C">
        <w:rPr>
          <w:rFonts w:ascii="Arial" w:hAnsi="Arial" w:cs="Arial"/>
          <w:b/>
          <w:bCs/>
        </w:rPr>
        <w:t xml:space="preserve"> centri universitari più piccoli</w:t>
      </w:r>
    </w:p>
    <w:p w14:paraId="2BE40082" w14:textId="2639C026" w:rsidR="00CD17B1" w:rsidRDefault="004B1C0E" w:rsidP="00757C55">
      <w:pPr>
        <w:jc w:val="both"/>
        <w:rPr>
          <w:rFonts w:ascii="Arial" w:hAnsi="Arial" w:cs="Arial"/>
        </w:rPr>
      </w:pPr>
      <w:r w:rsidRPr="004B1C0E">
        <w:rPr>
          <w:rFonts w:ascii="Arial" w:hAnsi="Arial" w:cs="Arial"/>
          <w:b/>
          <w:bCs/>
        </w:rPr>
        <w:t>Padova</w:t>
      </w:r>
      <w:r w:rsidRPr="004B1C0E">
        <w:rPr>
          <w:rFonts w:ascii="Arial" w:hAnsi="Arial" w:cs="Arial"/>
        </w:rPr>
        <w:t xml:space="preserve">, sede </w:t>
      </w:r>
      <w:r>
        <w:rPr>
          <w:rFonts w:ascii="Arial" w:hAnsi="Arial" w:cs="Arial"/>
        </w:rPr>
        <w:t xml:space="preserve">di una delle più celebri e antiche università italiane, concentra quasi il 2% dell’offerta totale di stanze e, rispetto al 2019, queste sono aumentate di quasi 6 volte (+473%). A </w:t>
      </w:r>
      <w:r w:rsidRPr="004B1C0E">
        <w:rPr>
          <w:rFonts w:ascii="Arial" w:hAnsi="Arial" w:cs="Arial"/>
          <w:b/>
          <w:bCs/>
        </w:rPr>
        <w:t>Trento</w:t>
      </w:r>
      <w:r>
        <w:rPr>
          <w:rFonts w:ascii="Arial" w:hAnsi="Arial" w:cs="Arial"/>
        </w:rPr>
        <w:t xml:space="preserve">, famosa per la facoltà di economia, lo stock invece è cresciuto del 689%, 8 volte tanto, e ora rappresenta l’1,7 del totale; ma è </w:t>
      </w:r>
      <w:r w:rsidRPr="004B1C0E">
        <w:rPr>
          <w:rFonts w:ascii="Arial" w:hAnsi="Arial" w:cs="Arial"/>
          <w:b/>
          <w:bCs/>
        </w:rPr>
        <w:t>Brescia</w:t>
      </w:r>
      <w:r>
        <w:rPr>
          <w:rFonts w:ascii="Arial" w:hAnsi="Arial" w:cs="Arial"/>
        </w:rPr>
        <w:t xml:space="preserve"> che raggiunge la cifra </w:t>
      </w:r>
      <w:r w:rsidRPr="004B1C0E">
        <w:rPr>
          <w:rFonts w:ascii="Arial" w:hAnsi="Arial" w:cs="Arial"/>
          <w:i/>
          <w:iCs/>
        </w:rPr>
        <w:t>monstre</w:t>
      </w:r>
      <w:r>
        <w:rPr>
          <w:rFonts w:ascii="Arial" w:hAnsi="Arial" w:cs="Arial"/>
        </w:rPr>
        <w:t xml:space="preserve"> del +916% nei 4 anni considerati, arrivando così a pesare per l’1,2% sul totale.</w:t>
      </w:r>
    </w:p>
    <w:p w14:paraId="17A7611A" w14:textId="325F274C" w:rsidR="004B1C0E" w:rsidRDefault="004B1C0E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Aumenti considerevoli nell’offerta anche per centri universitari satellite come </w:t>
      </w:r>
      <w:r w:rsidRPr="00392AAF">
        <w:rPr>
          <w:rFonts w:ascii="Arial" w:hAnsi="Arial" w:cs="Arial"/>
          <w:b/>
          <w:bCs/>
        </w:rPr>
        <w:t>Bergamo</w:t>
      </w:r>
      <w:r>
        <w:rPr>
          <w:rFonts w:ascii="Arial" w:hAnsi="Arial" w:cs="Arial"/>
        </w:rPr>
        <w:t xml:space="preserve"> (+600%) e </w:t>
      </w:r>
      <w:r w:rsidRPr="00392AAF">
        <w:rPr>
          <w:rFonts w:ascii="Arial" w:hAnsi="Arial" w:cs="Arial"/>
          <w:b/>
          <w:bCs/>
        </w:rPr>
        <w:t>Udine</w:t>
      </w:r>
      <w:r>
        <w:rPr>
          <w:rFonts w:ascii="Arial" w:hAnsi="Arial" w:cs="Arial"/>
        </w:rPr>
        <w:t xml:space="preserve"> (+426%)</w:t>
      </w:r>
      <w:r w:rsidR="00392AAF">
        <w:rPr>
          <w:rFonts w:ascii="Arial" w:hAnsi="Arial" w:cs="Arial"/>
        </w:rPr>
        <w:t>.</w:t>
      </w:r>
    </w:p>
    <w:p w14:paraId="684A9D79" w14:textId="66EB06C7" w:rsidR="009C543E" w:rsidRPr="00127277" w:rsidRDefault="009C543E" w:rsidP="009C543E">
      <w:pPr>
        <w:jc w:val="both"/>
        <w:rPr>
          <w:rFonts w:ascii="Arial" w:hAnsi="Arial" w:cs="Arial"/>
          <w:i/>
          <w:iCs/>
        </w:rPr>
      </w:pPr>
      <w:r w:rsidRPr="009C543E">
        <w:rPr>
          <w:rFonts w:ascii="Arial" w:hAnsi="Arial" w:cs="Arial"/>
        </w:rPr>
        <w:t xml:space="preserve">Conclude </w:t>
      </w:r>
      <w:r w:rsidRPr="009C543E">
        <w:rPr>
          <w:rFonts w:ascii="Arial" w:hAnsi="Arial" w:cs="Arial"/>
          <w:b/>
          <w:bCs/>
        </w:rPr>
        <w:t>Intini</w:t>
      </w:r>
      <w:r w:rsidRPr="009C543E">
        <w:rPr>
          <w:rFonts w:ascii="Arial" w:hAnsi="Arial" w:cs="Arial"/>
        </w:rPr>
        <w:t>:</w:t>
      </w:r>
      <w:r>
        <w:rPr>
          <w:rFonts w:ascii="Arial" w:hAnsi="Arial" w:cs="Arial"/>
          <w:i/>
          <w:iCs/>
        </w:rPr>
        <w:t xml:space="preserve"> </w:t>
      </w:r>
      <w:r w:rsidRPr="009C543E"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</w:rPr>
        <w:t>La spiccata crescita in termini di offerta per città come Bergamo e Brescia va ricondotta alla sempre più difficile accessibilità di Milano. Questo, da una parte ha attratto più studenti verso centri accademici vicini e altrettanto validi in termini di offerta formativa, dall’altra ha posizionato le due città come alternative abitative più sostenibili e ben collegate con il capoluogo di regione</w:t>
      </w:r>
      <w:r w:rsidRPr="009C543E">
        <w:rPr>
          <w:rFonts w:ascii="Arial" w:hAnsi="Arial" w:cs="Arial"/>
          <w:i/>
          <w:iCs/>
        </w:rPr>
        <w:t>».</w:t>
      </w:r>
    </w:p>
    <w:p w14:paraId="7EB0E0B3" w14:textId="74EDFACB" w:rsidR="004B368D" w:rsidRDefault="009C543E" w:rsidP="00757C5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Focus</w:t>
      </w:r>
      <w:r w:rsidR="004B368D">
        <w:rPr>
          <w:rFonts w:ascii="Arial" w:hAnsi="Arial" w:cs="Arial"/>
          <w:b/>
          <w:bCs/>
        </w:rPr>
        <w:t xml:space="preserve"> prezzi</w:t>
      </w:r>
    </w:p>
    <w:p w14:paraId="4E6F40C4" w14:textId="189FD4A0" w:rsidR="004B368D" w:rsidRPr="00392AAF" w:rsidRDefault="00392AAF" w:rsidP="00757C55">
      <w:pPr>
        <w:jc w:val="both"/>
        <w:rPr>
          <w:rFonts w:ascii="Arial" w:hAnsi="Arial" w:cs="Arial"/>
        </w:rPr>
      </w:pPr>
      <w:r w:rsidRPr="00392AAF">
        <w:rPr>
          <w:rFonts w:ascii="Arial" w:hAnsi="Arial" w:cs="Arial"/>
        </w:rPr>
        <w:t>Se</w:t>
      </w:r>
      <w:r w:rsidR="00C907F9">
        <w:rPr>
          <w:rFonts w:ascii="Arial" w:hAnsi="Arial" w:cs="Arial"/>
        </w:rPr>
        <w:t>,</w:t>
      </w:r>
      <w:r w:rsidRPr="00392AAF">
        <w:rPr>
          <w:rFonts w:ascii="Arial" w:hAnsi="Arial" w:cs="Arial"/>
        </w:rPr>
        <w:t xml:space="preserve"> come abbiamo visto</w:t>
      </w:r>
      <w:r w:rsidR="00C907F9">
        <w:rPr>
          <w:rFonts w:ascii="Arial" w:hAnsi="Arial" w:cs="Arial"/>
        </w:rPr>
        <w:t>,</w:t>
      </w:r>
      <w:r w:rsidRPr="00392AAF">
        <w:rPr>
          <w:rFonts w:ascii="Arial" w:hAnsi="Arial" w:cs="Arial"/>
        </w:rPr>
        <w:t xml:space="preserve"> Milano si conferma </w:t>
      </w:r>
      <w:r>
        <w:rPr>
          <w:rFonts w:ascii="Arial" w:hAnsi="Arial" w:cs="Arial"/>
        </w:rPr>
        <w:t>la città più inaccessibile a livello di prezz</w:t>
      </w:r>
      <w:r w:rsidR="00C907F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anche </w:t>
      </w:r>
      <w:r w:rsidRPr="00392AAF">
        <w:rPr>
          <w:rFonts w:ascii="Arial" w:hAnsi="Arial" w:cs="Arial"/>
          <w:b/>
          <w:bCs/>
        </w:rPr>
        <w:t>Bologna</w:t>
      </w:r>
      <w:r>
        <w:rPr>
          <w:rFonts w:ascii="Arial" w:hAnsi="Arial" w:cs="Arial"/>
        </w:rPr>
        <w:t xml:space="preserve"> e </w:t>
      </w:r>
      <w:r w:rsidRPr="00392AAF">
        <w:rPr>
          <w:rFonts w:ascii="Arial" w:hAnsi="Arial" w:cs="Arial"/>
          <w:b/>
          <w:bCs/>
        </w:rPr>
        <w:t>Firenze</w:t>
      </w:r>
      <w:r>
        <w:rPr>
          <w:rFonts w:ascii="Arial" w:hAnsi="Arial" w:cs="Arial"/>
        </w:rPr>
        <w:t xml:space="preserve">, al secondo e terzo posto per costo di una singola, stanno raggiungendo cifre importanti: </w:t>
      </w:r>
      <w:r w:rsidRPr="00392AAF">
        <w:rPr>
          <w:rFonts w:ascii="Arial" w:hAnsi="Arial" w:cs="Arial"/>
          <w:b/>
          <w:bCs/>
        </w:rPr>
        <w:t>524 euro</w:t>
      </w:r>
      <w:r>
        <w:rPr>
          <w:rFonts w:ascii="Arial" w:hAnsi="Arial" w:cs="Arial"/>
        </w:rPr>
        <w:t xml:space="preserve"> e </w:t>
      </w:r>
      <w:r w:rsidRPr="00392AAF">
        <w:rPr>
          <w:rFonts w:ascii="Arial" w:hAnsi="Arial" w:cs="Arial"/>
          <w:b/>
          <w:bCs/>
        </w:rPr>
        <w:t>517 euro</w:t>
      </w:r>
      <w:r>
        <w:rPr>
          <w:rFonts w:ascii="Arial" w:hAnsi="Arial" w:cs="Arial"/>
        </w:rPr>
        <w:t xml:space="preserve">, rispettivamente. Appena fuori dal podio </w:t>
      </w:r>
      <w:r w:rsidRPr="00392AAF">
        <w:rPr>
          <w:rFonts w:ascii="Arial" w:hAnsi="Arial" w:cs="Arial"/>
          <w:b/>
          <w:bCs/>
        </w:rPr>
        <w:t>Roma</w:t>
      </w:r>
      <w:r>
        <w:rPr>
          <w:rFonts w:ascii="Arial" w:hAnsi="Arial" w:cs="Arial"/>
        </w:rPr>
        <w:t xml:space="preserve">, dove per avere una stanza tutta per sé bisogna spendere </w:t>
      </w:r>
      <w:r w:rsidRPr="00392AAF">
        <w:rPr>
          <w:rFonts w:ascii="Arial" w:hAnsi="Arial" w:cs="Arial"/>
          <w:b/>
          <w:bCs/>
        </w:rPr>
        <w:t>492 euro</w:t>
      </w:r>
      <w:r w:rsidR="00334FB2">
        <w:rPr>
          <w:rFonts w:ascii="Arial" w:hAnsi="Arial" w:cs="Arial"/>
          <w:b/>
          <w:bCs/>
        </w:rPr>
        <w:t xml:space="preserve"> </w:t>
      </w:r>
      <w:r w:rsidR="00334FB2" w:rsidRPr="00334FB2">
        <w:rPr>
          <w:rFonts w:ascii="Arial" w:hAnsi="Arial" w:cs="Arial"/>
        </w:rPr>
        <w:t>in media</w:t>
      </w:r>
      <w:r>
        <w:rPr>
          <w:rFonts w:ascii="Arial" w:hAnsi="Arial" w:cs="Arial"/>
        </w:rPr>
        <w:t xml:space="preserve">. Incalzano da vicino i grandi centri tre realtà più piccole, ovvero </w:t>
      </w:r>
      <w:r w:rsidRPr="00392AAF">
        <w:rPr>
          <w:rFonts w:ascii="Arial" w:hAnsi="Arial" w:cs="Arial"/>
          <w:b/>
          <w:bCs/>
        </w:rPr>
        <w:t>Padova</w:t>
      </w:r>
      <w:r>
        <w:rPr>
          <w:rFonts w:ascii="Arial" w:hAnsi="Arial" w:cs="Arial"/>
        </w:rPr>
        <w:t xml:space="preserve">, a 482 euro, </w:t>
      </w:r>
      <w:r w:rsidRPr="00392AAF">
        <w:rPr>
          <w:rFonts w:ascii="Arial" w:hAnsi="Arial" w:cs="Arial"/>
          <w:b/>
          <w:bCs/>
        </w:rPr>
        <w:t>Bergamo</w:t>
      </w:r>
      <w:r>
        <w:rPr>
          <w:rFonts w:ascii="Arial" w:hAnsi="Arial" w:cs="Arial"/>
        </w:rPr>
        <w:t xml:space="preserve">, a 447 euro, e </w:t>
      </w:r>
      <w:r w:rsidRPr="00392AAF">
        <w:rPr>
          <w:rFonts w:ascii="Arial" w:hAnsi="Arial" w:cs="Arial"/>
          <w:b/>
          <w:bCs/>
        </w:rPr>
        <w:t>Brescia</w:t>
      </w:r>
      <w:r>
        <w:rPr>
          <w:rFonts w:ascii="Arial" w:hAnsi="Arial" w:cs="Arial"/>
        </w:rPr>
        <w:t>, a 431 euro.</w:t>
      </w:r>
    </w:p>
    <w:p w14:paraId="3757E1A9" w14:textId="30360266" w:rsidR="00D272D0" w:rsidRDefault="00D272D0" w:rsidP="00757C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04740">
        <w:rPr>
          <w:rFonts w:ascii="Arial" w:hAnsi="Arial" w:cs="Arial"/>
          <w:sz w:val="20"/>
          <w:szCs w:val="20"/>
        </w:rPr>
        <w:t xml:space="preserve">L’analisi </w:t>
      </w:r>
      <w:r w:rsidR="00334FB2">
        <w:rPr>
          <w:rFonts w:ascii="Arial" w:hAnsi="Arial" w:cs="Arial"/>
          <w:sz w:val="20"/>
          <w:szCs w:val="20"/>
        </w:rPr>
        <w:t>ha messo a confronto il 2023 con il 2019</w:t>
      </w:r>
      <w:r>
        <w:rPr>
          <w:rFonts w:ascii="Arial" w:hAnsi="Arial" w:cs="Arial"/>
          <w:sz w:val="20"/>
          <w:szCs w:val="20"/>
        </w:rPr>
        <w:t>.</w:t>
      </w:r>
    </w:p>
    <w:p w14:paraId="7E33891B" w14:textId="77777777" w:rsidR="00C57E06" w:rsidRDefault="00C57E06" w:rsidP="00C57E06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lastRenderedPageBreak/>
        <w:t xml:space="preserve">Per ulteriori informazioni: </w:t>
      </w:r>
    </w:p>
    <w:p w14:paraId="1A1FD9B5" w14:textId="77777777" w:rsidR="00C57E06" w:rsidRDefault="00C57E06" w:rsidP="00C57E06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52EFA2D5" w14:textId="77777777" w:rsidR="00C57E06" w:rsidRDefault="00C57E06" w:rsidP="00C57E06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Martegani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5F136987" w14:textId="007401C6" w:rsidR="00F1525B" w:rsidRPr="00942E1E" w:rsidRDefault="007044D4" w:rsidP="00942E1E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9" w:history="1">
        <w:r w:rsidR="00C57E06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C57E06">
        <w:rPr>
          <w:rFonts w:ascii="Arial" w:eastAsia="Lucida Sans Unicode" w:hAnsi="Arial" w:cs="Arial"/>
          <w:kern w:val="2"/>
          <w:lang w:eastAsia="ar-SA"/>
        </w:rPr>
        <w:t xml:space="preserve"> </w:t>
      </w:r>
      <w:r w:rsidR="00C57E06" w:rsidRPr="00F1525B">
        <w:rPr>
          <w:rFonts w:ascii="Arial" w:hAnsi="Arial" w:cs="Arial"/>
        </w:rPr>
        <w:t xml:space="preserve"> </w:t>
      </w:r>
      <w:r w:rsidR="00C57E06">
        <w:rPr>
          <w:rFonts w:ascii="Arial" w:hAnsi="Arial" w:cs="Arial"/>
          <w:i/>
          <w:iCs/>
        </w:rPr>
        <w:t xml:space="preserve"> </w:t>
      </w:r>
    </w:p>
    <w:p w14:paraId="2B6F958E" w14:textId="77777777" w:rsidR="00930223" w:rsidRDefault="00930223" w:rsidP="00B82740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</w:p>
    <w:p w14:paraId="500EAE34" w14:textId="77777777" w:rsidR="00757C55" w:rsidRPr="00757C55" w:rsidRDefault="00757C55" w:rsidP="00757C55">
      <w:pPr>
        <w:pStyle w:val="Paragrafoelenco"/>
        <w:rPr>
          <w:rFonts w:ascii="Arial" w:hAnsi="Arial" w:cs="Arial"/>
        </w:rPr>
      </w:pPr>
    </w:p>
    <w:p w14:paraId="2F23C3A1" w14:textId="4D1EB7E9" w:rsidR="0077357C" w:rsidRDefault="0077357C" w:rsidP="0077357C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A14B442" w14:textId="77777777" w:rsidR="0077357C" w:rsidRPr="00A76EFB" w:rsidRDefault="0077357C" w:rsidP="0077357C">
      <w:pPr>
        <w:rPr>
          <w:rFonts w:ascii="Arial" w:hAnsi="Arial" w:cs="Arial"/>
        </w:rPr>
      </w:pPr>
    </w:p>
    <w:p w14:paraId="03DC57D9" w14:textId="77777777" w:rsidR="00A30185" w:rsidRDefault="00A30185"/>
    <w:sectPr w:rsidR="00A3018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2341C" w14:textId="77777777" w:rsidR="0077357C" w:rsidRDefault="0077357C" w:rsidP="0077357C">
      <w:pPr>
        <w:spacing w:after="0" w:line="240" w:lineRule="auto"/>
      </w:pPr>
      <w:r>
        <w:separator/>
      </w:r>
    </w:p>
  </w:endnote>
  <w:endnote w:type="continuationSeparator" w:id="0">
    <w:p w14:paraId="287C6698" w14:textId="77777777" w:rsidR="0077357C" w:rsidRDefault="0077357C" w:rsidP="0077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7FD3B" w14:textId="77777777" w:rsidR="0077357C" w:rsidRDefault="0077357C" w:rsidP="0077357C">
      <w:pPr>
        <w:spacing w:after="0" w:line="240" w:lineRule="auto"/>
      </w:pPr>
      <w:r>
        <w:separator/>
      </w:r>
    </w:p>
  </w:footnote>
  <w:footnote w:type="continuationSeparator" w:id="0">
    <w:p w14:paraId="6EBCF223" w14:textId="77777777" w:rsidR="0077357C" w:rsidRDefault="0077357C" w:rsidP="0077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D789" w14:textId="19953081" w:rsidR="0077357C" w:rsidRDefault="0077357C">
    <w:pPr>
      <w:pStyle w:val="Intestazione"/>
    </w:pPr>
    <w:r>
      <w:rPr>
        <w:noProof/>
      </w:rPr>
      <w:drawing>
        <wp:inline distT="0" distB="0" distL="0" distR="0" wp14:anchorId="0B72756C" wp14:editId="410F5852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31032" w14:textId="77777777" w:rsidR="0077357C" w:rsidRDefault="0077357C">
    <w:pPr>
      <w:pStyle w:val="Intestazione"/>
    </w:pPr>
  </w:p>
  <w:p w14:paraId="11F7989E" w14:textId="77777777" w:rsidR="0077357C" w:rsidRDefault="00773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73BA6"/>
    <w:multiLevelType w:val="hybridMultilevel"/>
    <w:tmpl w:val="AC5A70B8"/>
    <w:lvl w:ilvl="0" w:tplc="F81E4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C"/>
    <w:rsid w:val="0003253F"/>
    <w:rsid w:val="000418B8"/>
    <w:rsid w:val="00047322"/>
    <w:rsid w:val="00052289"/>
    <w:rsid w:val="0005328C"/>
    <w:rsid w:val="00054C83"/>
    <w:rsid w:val="000634CD"/>
    <w:rsid w:val="0006558C"/>
    <w:rsid w:val="00082EC5"/>
    <w:rsid w:val="000A67F6"/>
    <w:rsid w:val="000C229B"/>
    <w:rsid w:val="000D696C"/>
    <w:rsid w:val="000D7772"/>
    <w:rsid w:val="000F1BED"/>
    <w:rsid w:val="000F2AF6"/>
    <w:rsid w:val="00112C8A"/>
    <w:rsid w:val="00122323"/>
    <w:rsid w:val="00122B83"/>
    <w:rsid w:val="00127277"/>
    <w:rsid w:val="00132091"/>
    <w:rsid w:val="0013450F"/>
    <w:rsid w:val="00150160"/>
    <w:rsid w:val="00157AAB"/>
    <w:rsid w:val="0017694D"/>
    <w:rsid w:val="00185F13"/>
    <w:rsid w:val="00194AA3"/>
    <w:rsid w:val="001A0361"/>
    <w:rsid w:val="001A4028"/>
    <w:rsid w:val="001B1264"/>
    <w:rsid w:val="001B7544"/>
    <w:rsid w:val="001C147A"/>
    <w:rsid w:val="001C284A"/>
    <w:rsid w:val="001F4DDC"/>
    <w:rsid w:val="00207A08"/>
    <w:rsid w:val="00213AC1"/>
    <w:rsid w:val="0022057F"/>
    <w:rsid w:val="00231312"/>
    <w:rsid w:val="002547FB"/>
    <w:rsid w:val="002560DA"/>
    <w:rsid w:val="00260D5A"/>
    <w:rsid w:val="002626E8"/>
    <w:rsid w:val="00266FE8"/>
    <w:rsid w:val="00272F06"/>
    <w:rsid w:val="0027769E"/>
    <w:rsid w:val="002843EA"/>
    <w:rsid w:val="002A6ADA"/>
    <w:rsid w:val="002B64F1"/>
    <w:rsid w:val="002C3447"/>
    <w:rsid w:val="002C4DFB"/>
    <w:rsid w:val="002C7E44"/>
    <w:rsid w:val="002D0BAE"/>
    <w:rsid w:val="002D2931"/>
    <w:rsid w:val="002F13F8"/>
    <w:rsid w:val="00303A38"/>
    <w:rsid w:val="00334FB2"/>
    <w:rsid w:val="0034508F"/>
    <w:rsid w:val="00354E18"/>
    <w:rsid w:val="0036117E"/>
    <w:rsid w:val="00363D4D"/>
    <w:rsid w:val="00373623"/>
    <w:rsid w:val="00387A5C"/>
    <w:rsid w:val="00392AAF"/>
    <w:rsid w:val="00393459"/>
    <w:rsid w:val="003A02F7"/>
    <w:rsid w:val="003A385E"/>
    <w:rsid w:val="003A4A3B"/>
    <w:rsid w:val="003B0CCA"/>
    <w:rsid w:val="003C29B9"/>
    <w:rsid w:val="003C2FE9"/>
    <w:rsid w:val="003D2F84"/>
    <w:rsid w:val="003D3DA8"/>
    <w:rsid w:val="003D6775"/>
    <w:rsid w:val="003E50CD"/>
    <w:rsid w:val="0040426F"/>
    <w:rsid w:val="00414A36"/>
    <w:rsid w:val="00433194"/>
    <w:rsid w:val="00437AD1"/>
    <w:rsid w:val="00437BB1"/>
    <w:rsid w:val="0044236C"/>
    <w:rsid w:val="004438AD"/>
    <w:rsid w:val="00456069"/>
    <w:rsid w:val="00475A07"/>
    <w:rsid w:val="004761AF"/>
    <w:rsid w:val="00483BE0"/>
    <w:rsid w:val="004940F8"/>
    <w:rsid w:val="004A557C"/>
    <w:rsid w:val="004B1C0E"/>
    <w:rsid w:val="004B2111"/>
    <w:rsid w:val="004B368D"/>
    <w:rsid w:val="004B47D3"/>
    <w:rsid w:val="004C2F58"/>
    <w:rsid w:val="004C75C2"/>
    <w:rsid w:val="004D171E"/>
    <w:rsid w:val="004D7088"/>
    <w:rsid w:val="004E641C"/>
    <w:rsid w:val="004F7745"/>
    <w:rsid w:val="00503671"/>
    <w:rsid w:val="00506579"/>
    <w:rsid w:val="00512646"/>
    <w:rsid w:val="0052085A"/>
    <w:rsid w:val="00537A19"/>
    <w:rsid w:val="00540071"/>
    <w:rsid w:val="00544A2B"/>
    <w:rsid w:val="0055692C"/>
    <w:rsid w:val="00587147"/>
    <w:rsid w:val="005A1908"/>
    <w:rsid w:val="005B0326"/>
    <w:rsid w:val="005B2BC6"/>
    <w:rsid w:val="005C5C76"/>
    <w:rsid w:val="005D7FDB"/>
    <w:rsid w:val="005E129E"/>
    <w:rsid w:val="005E38C3"/>
    <w:rsid w:val="005F65D7"/>
    <w:rsid w:val="006057D2"/>
    <w:rsid w:val="0062389E"/>
    <w:rsid w:val="0063027F"/>
    <w:rsid w:val="00635F01"/>
    <w:rsid w:val="00653370"/>
    <w:rsid w:val="006540F5"/>
    <w:rsid w:val="00672543"/>
    <w:rsid w:val="006856D2"/>
    <w:rsid w:val="0068668B"/>
    <w:rsid w:val="006A4E7B"/>
    <w:rsid w:val="006A5649"/>
    <w:rsid w:val="006A5DC7"/>
    <w:rsid w:val="006C5016"/>
    <w:rsid w:val="006C6F60"/>
    <w:rsid w:val="006D0270"/>
    <w:rsid w:val="006F1B8C"/>
    <w:rsid w:val="006F31B2"/>
    <w:rsid w:val="00703B60"/>
    <w:rsid w:val="007044D4"/>
    <w:rsid w:val="0073016D"/>
    <w:rsid w:val="0073017C"/>
    <w:rsid w:val="00730B88"/>
    <w:rsid w:val="00735F14"/>
    <w:rsid w:val="007432D5"/>
    <w:rsid w:val="0074661A"/>
    <w:rsid w:val="00752B4D"/>
    <w:rsid w:val="00757C55"/>
    <w:rsid w:val="00766D03"/>
    <w:rsid w:val="0077357C"/>
    <w:rsid w:val="00776A0D"/>
    <w:rsid w:val="00782F20"/>
    <w:rsid w:val="00784100"/>
    <w:rsid w:val="00791641"/>
    <w:rsid w:val="00797624"/>
    <w:rsid w:val="007A5FED"/>
    <w:rsid w:val="007B48AE"/>
    <w:rsid w:val="007B6438"/>
    <w:rsid w:val="007C1704"/>
    <w:rsid w:val="007C21A5"/>
    <w:rsid w:val="007C6B54"/>
    <w:rsid w:val="007D3A6A"/>
    <w:rsid w:val="007D3CDC"/>
    <w:rsid w:val="007D4440"/>
    <w:rsid w:val="007D4FBE"/>
    <w:rsid w:val="00800F5E"/>
    <w:rsid w:val="0080104A"/>
    <w:rsid w:val="00802AC2"/>
    <w:rsid w:val="0080344A"/>
    <w:rsid w:val="0081687F"/>
    <w:rsid w:val="008516A0"/>
    <w:rsid w:val="00854520"/>
    <w:rsid w:val="00857736"/>
    <w:rsid w:val="008672E0"/>
    <w:rsid w:val="00876CFE"/>
    <w:rsid w:val="00885D12"/>
    <w:rsid w:val="00895C85"/>
    <w:rsid w:val="00896D52"/>
    <w:rsid w:val="008A0164"/>
    <w:rsid w:val="008A2B56"/>
    <w:rsid w:val="008A31A2"/>
    <w:rsid w:val="008A629D"/>
    <w:rsid w:val="008B7EA1"/>
    <w:rsid w:val="008C700F"/>
    <w:rsid w:val="008E44EE"/>
    <w:rsid w:val="008E4867"/>
    <w:rsid w:val="008F04E0"/>
    <w:rsid w:val="008F3EA8"/>
    <w:rsid w:val="00904488"/>
    <w:rsid w:val="009230B8"/>
    <w:rsid w:val="0092523B"/>
    <w:rsid w:val="00930223"/>
    <w:rsid w:val="009335A6"/>
    <w:rsid w:val="009379AC"/>
    <w:rsid w:val="00941AA5"/>
    <w:rsid w:val="00942139"/>
    <w:rsid w:val="00942E1E"/>
    <w:rsid w:val="00951BB3"/>
    <w:rsid w:val="00964714"/>
    <w:rsid w:val="00964D67"/>
    <w:rsid w:val="009868C0"/>
    <w:rsid w:val="009926B0"/>
    <w:rsid w:val="00997E4E"/>
    <w:rsid w:val="009B6360"/>
    <w:rsid w:val="009C202A"/>
    <w:rsid w:val="009C543E"/>
    <w:rsid w:val="009C5876"/>
    <w:rsid w:val="009C6ED0"/>
    <w:rsid w:val="009D15A4"/>
    <w:rsid w:val="009E75DD"/>
    <w:rsid w:val="00A02067"/>
    <w:rsid w:val="00A30185"/>
    <w:rsid w:val="00A32E6E"/>
    <w:rsid w:val="00A40218"/>
    <w:rsid w:val="00A474A0"/>
    <w:rsid w:val="00A47B92"/>
    <w:rsid w:val="00A649C9"/>
    <w:rsid w:val="00A76AFB"/>
    <w:rsid w:val="00A82494"/>
    <w:rsid w:val="00A83D58"/>
    <w:rsid w:val="00A879B2"/>
    <w:rsid w:val="00A97541"/>
    <w:rsid w:val="00AA5497"/>
    <w:rsid w:val="00AD0587"/>
    <w:rsid w:val="00AD2F0B"/>
    <w:rsid w:val="00AF1BC5"/>
    <w:rsid w:val="00B20B58"/>
    <w:rsid w:val="00B42CE8"/>
    <w:rsid w:val="00B473F1"/>
    <w:rsid w:val="00B517E0"/>
    <w:rsid w:val="00B57B24"/>
    <w:rsid w:val="00B74684"/>
    <w:rsid w:val="00B82740"/>
    <w:rsid w:val="00B82B18"/>
    <w:rsid w:val="00B97DC4"/>
    <w:rsid w:val="00BB0A87"/>
    <w:rsid w:val="00BB59A8"/>
    <w:rsid w:val="00BB59C5"/>
    <w:rsid w:val="00BB7DF0"/>
    <w:rsid w:val="00BD5C78"/>
    <w:rsid w:val="00BE019F"/>
    <w:rsid w:val="00BE12DD"/>
    <w:rsid w:val="00C1148F"/>
    <w:rsid w:val="00C11782"/>
    <w:rsid w:val="00C54890"/>
    <w:rsid w:val="00C550A5"/>
    <w:rsid w:val="00C57E06"/>
    <w:rsid w:val="00C62E18"/>
    <w:rsid w:val="00C64046"/>
    <w:rsid w:val="00C67F85"/>
    <w:rsid w:val="00C7273E"/>
    <w:rsid w:val="00C76073"/>
    <w:rsid w:val="00C80BB6"/>
    <w:rsid w:val="00C907F9"/>
    <w:rsid w:val="00C95E59"/>
    <w:rsid w:val="00C96262"/>
    <w:rsid w:val="00CB0A15"/>
    <w:rsid w:val="00CB10D7"/>
    <w:rsid w:val="00CB33A9"/>
    <w:rsid w:val="00CB4B00"/>
    <w:rsid w:val="00CD17B1"/>
    <w:rsid w:val="00CD567A"/>
    <w:rsid w:val="00CE293C"/>
    <w:rsid w:val="00CE793F"/>
    <w:rsid w:val="00CF4240"/>
    <w:rsid w:val="00D003D8"/>
    <w:rsid w:val="00D01A6C"/>
    <w:rsid w:val="00D04740"/>
    <w:rsid w:val="00D05556"/>
    <w:rsid w:val="00D1499E"/>
    <w:rsid w:val="00D15687"/>
    <w:rsid w:val="00D20AB7"/>
    <w:rsid w:val="00D249EE"/>
    <w:rsid w:val="00D26C02"/>
    <w:rsid w:val="00D272D0"/>
    <w:rsid w:val="00D37B51"/>
    <w:rsid w:val="00D46CA0"/>
    <w:rsid w:val="00D6610E"/>
    <w:rsid w:val="00D665D2"/>
    <w:rsid w:val="00D672A6"/>
    <w:rsid w:val="00D67E40"/>
    <w:rsid w:val="00D76C55"/>
    <w:rsid w:val="00D84482"/>
    <w:rsid w:val="00D86EA9"/>
    <w:rsid w:val="00D918D4"/>
    <w:rsid w:val="00DA6F53"/>
    <w:rsid w:val="00DB3A43"/>
    <w:rsid w:val="00DB4228"/>
    <w:rsid w:val="00DC429C"/>
    <w:rsid w:val="00DE5336"/>
    <w:rsid w:val="00E063B7"/>
    <w:rsid w:val="00E1587C"/>
    <w:rsid w:val="00E2296F"/>
    <w:rsid w:val="00E34FA8"/>
    <w:rsid w:val="00E602C7"/>
    <w:rsid w:val="00E6111E"/>
    <w:rsid w:val="00E815E4"/>
    <w:rsid w:val="00E922AC"/>
    <w:rsid w:val="00EA5168"/>
    <w:rsid w:val="00EA56CF"/>
    <w:rsid w:val="00EB291D"/>
    <w:rsid w:val="00EB5B9A"/>
    <w:rsid w:val="00EB6F37"/>
    <w:rsid w:val="00EC20A9"/>
    <w:rsid w:val="00EC3C7D"/>
    <w:rsid w:val="00EC5C47"/>
    <w:rsid w:val="00ED02F8"/>
    <w:rsid w:val="00EE745F"/>
    <w:rsid w:val="00EF3600"/>
    <w:rsid w:val="00EF5FF8"/>
    <w:rsid w:val="00F00A0E"/>
    <w:rsid w:val="00F03738"/>
    <w:rsid w:val="00F05533"/>
    <w:rsid w:val="00F1525B"/>
    <w:rsid w:val="00F16385"/>
    <w:rsid w:val="00F1664A"/>
    <w:rsid w:val="00F17104"/>
    <w:rsid w:val="00F330FF"/>
    <w:rsid w:val="00F337A2"/>
    <w:rsid w:val="00F3636D"/>
    <w:rsid w:val="00F624AC"/>
    <w:rsid w:val="00F639C3"/>
    <w:rsid w:val="00F662DE"/>
    <w:rsid w:val="00F759B8"/>
    <w:rsid w:val="00F77C32"/>
    <w:rsid w:val="00F81552"/>
    <w:rsid w:val="00F82793"/>
    <w:rsid w:val="00F83BBE"/>
    <w:rsid w:val="00FA073D"/>
    <w:rsid w:val="00FB7ADF"/>
    <w:rsid w:val="00FD0C11"/>
    <w:rsid w:val="00FD274C"/>
    <w:rsid w:val="00FE3FBA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D839"/>
  <w15:chartTrackingRefBased/>
  <w15:docId w15:val="{D37E7025-BBD1-46AB-8A04-9D8C1A6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57C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5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57C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57C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B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7C55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Enfasigrassetto">
    <w:name w:val="Strong"/>
    <w:basedOn w:val="Carpredefinitoparagrafo"/>
    <w:uiPriority w:val="22"/>
    <w:qFormat/>
    <w:rsid w:val="00757C55"/>
    <w:rPr>
      <w:b/>
      <w:bCs/>
    </w:rPr>
  </w:style>
  <w:style w:type="paragraph" w:styleId="Nessunaspaziatura">
    <w:name w:val="No Spacing"/>
    <w:uiPriority w:val="1"/>
    <w:qFormat/>
    <w:rsid w:val="00F1525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obilia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stampa@immobilia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870C-C252-4267-88EA-FBE1E424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53</cp:revision>
  <dcterms:created xsi:type="dcterms:W3CDTF">2024-03-15T10:56:00Z</dcterms:created>
  <dcterms:modified xsi:type="dcterms:W3CDTF">2024-05-28T07:26:00Z</dcterms:modified>
</cp:coreProperties>
</file>