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8C0D7" w14:textId="7550EBC7" w:rsidR="00AF3A8E" w:rsidRPr="00AF3A8E" w:rsidRDefault="006054E4" w:rsidP="00710556">
      <w:pPr>
        <w:spacing w:after="0" w:line="240" w:lineRule="auto"/>
        <w:rPr>
          <w:b/>
          <w:bCs/>
        </w:rPr>
      </w:pPr>
      <w:r w:rsidRPr="00AF3A8E">
        <w:rPr>
          <w:b/>
          <w:bCs/>
        </w:rPr>
        <w:t xml:space="preserve">T. Rowe Price – Mid-year market outlook: </w:t>
      </w:r>
      <w:r w:rsidR="00AF3A8E" w:rsidRPr="00587CC7">
        <w:rPr>
          <w:b/>
          <w:bCs/>
        </w:rPr>
        <w:t>previsioni per crescita globale e politica mone</w:t>
      </w:r>
      <w:r w:rsidR="00AF3A8E">
        <w:rPr>
          <w:b/>
          <w:bCs/>
        </w:rPr>
        <w:t>taria</w:t>
      </w:r>
    </w:p>
    <w:p w14:paraId="62D544E9" w14:textId="77777777" w:rsidR="00AF3A8E" w:rsidRDefault="00AF3A8E" w:rsidP="00710556">
      <w:pPr>
        <w:spacing w:after="0" w:line="240" w:lineRule="auto"/>
        <w:rPr>
          <w:b/>
          <w:bCs/>
        </w:rPr>
      </w:pPr>
    </w:p>
    <w:p w14:paraId="7638ACB8" w14:textId="67636416" w:rsidR="00AF3A8E" w:rsidRPr="00587CC7" w:rsidRDefault="00AF3A8E" w:rsidP="00710556">
      <w:pPr>
        <w:spacing w:after="0" w:line="240" w:lineRule="auto"/>
        <w:rPr>
          <w:b/>
          <w:bCs/>
          <w:u w:val="single"/>
        </w:rPr>
      </w:pPr>
      <w:r w:rsidRPr="00587CC7">
        <w:rPr>
          <w:b/>
          <w:bCs/>
          <w:u w:val="single"/>
        </w:rPr>
        <w:t xml:space="preserve">La crescita globale </w:t>
      </w:r>
      <w:r>
        <w:rPr>
          <w:b/>
          <w:bCs/>
          <w:u w:val="single"/>
        </w:rPr>
        <w:t>e le prospettive per l’inflazione potrebbero implicare un rialzo dei tassi nel 2025</w:t>
      </w:r>
    </w:p>
    <w:p w14:paraId="7E7B388D" w14:textId="77777777" w:rsidR="00CD65C0" w:rsidRPr="00710556" w:rsidRDefault="00CD65C0" w:rsidP="00CD65C0">
      <w:pPr>
        <w:spacing w:after="0" w:line="240" w:lineRule="auto"/>
        <w:rPr>
          <w:sz w:val="10"/>
          <w:szCs w:val="10"/>
        </w:rPr>
      </w:pPr>
    </w:p>
    <w:p w14:paraId="7746FE7C" w14:textId="6F4328A5" w:rsidR="00AF3A8E" w:rsidRPr="00587CC7" w:rsidRDefault="00AF3A8E" w:rsidP="00710556">
      <w:pPr>
        <w:spacing w:after="0" w:line="240" w:lineRule="auto"/>
        <w:rPr>
          <w:b/>
          <w:bCs/>
        </w:rPr>
      </w:pPr>
      <w:r w:rsidRPr="00587CC7">
        <w:t xml:space="preserve">A cura di </w:t>
      </w:r>
      <w:r w:rsidRPr="00587CC7">
        <w:rPr>
          <w:b/>
          <w:bCs/>
        </w:rPr>
        <w:t>Nikolaj Schmidt, Chief Global Economist, T. Rowe Price</w:t>
      </w:r>
    </w:p>
    <w:p w14:paraId="0E8F55F3" w14:textId="77777777" w:rsidR="00CD65C0" w:rsidRDefault="00CD65C0" w:rsidP="00CD65C0">
      <w:pPr>
        <w:spacing w:after="0" w:line="240" w:lineRule="auto"/>
      </w:pPr>
    </w:p>
    <w:p w14:paraId="799DCDC2" w14:textId="3C722A9A" w:rsidR="00AF3A8E" w:rsidRDefault="00AF3A8E" w:rsidP="00CD65C0">
      <w:pPr>
        <w:spacing w:after="0" w:line="240" w:lineRule="auto"/>
      </w:pPr>
      <w:r w:rsidRPr="00842443">
        <w:t>Sei mesi fa, le pr</w:t>
      </w:r>
      <w:r>
        <w:t>ospettive</w:t>
      </w:r>
      <w:r w:rsidRPr="00842443">
        <w:t xml:space="preserve"> di consenso per l'economia globale </w:t>
      </w:r>
      <w:r>
        <w:t>a fine 2024</w:t>
      </w:r>
      <w:r w:rsidRPr="00842443">
        <w:t xml:space="preserve"> prevedevano un'inflazione in costante calo e uno scivolamento verso la recessione</w:t>
      </w:r>
      <w:r>
        <w:t>,</w:t>
      </w:r>
      <w:r w:rsidRPr="00842443">
        <w:t xml:space="preserve"> che avrebbe innescato aggressivi tagli dei tassi </w:t>
      </w:r>
      <w:r>
        <w:t xml:space="preserve">da parte </w:t>
      </w:r>
      <w:r w:rsidRPr="00842443">
        <w:t>delle banche centrali</w:t>
      </w:r>
      <w:r w:rsidRPr="00472945">
        <w:t>. Il risultato migliore sarebbe stato un rallentamento</w:t>
      </w:r>
      <w:r>
        <w:t>, associato a un</w:t>
      </w:r>
      <w:r w:rsidRPr="00472945">
        <w:t xml:space="preserve"> "soft landing"</w:t>
      </w:r>
      <w:r>
        <w:t>,</w:t>
      </w:r>
      <w:r w:rsidRPr="00472945">
        <w:t xml:space="preserve"> che avrebbe </w:t>
      </w:r>
      <w:r>
        <w:t xml:space="preserve">consentito di evitare una </w:t>
      </w:r>
      <w:r w:rsidRPr="00472945">
        <w:t>recessione</w:t>
      </w:r>
      <w:r>
        <w:t>,</w:t>
      </w:r>
      <w:r w:rsidRPr="00472945">
        <w:t xml:space="preserve"> grazie all'azione delle banche centrali. Le speranze degli investitori </w:t>
      </w:r>
      <w:r>
        <w:t xml:space="preserve">per </w:t>
      </w:r>
      <w:r w:rsidRPr="00472945">
        <w:t xml:space="preserve">questo scenario hanno </w:t>
      </w:r>
      <w:r>
        <w:t>determinato</w:t>
      </w:r>
      <w:r w:rsidRPr="00472945">
        <w:t xml:space="preserve"> rally </w:t>
      </w:r>
      <w:r>
        <w:t xml:space="preserve">simultanei </w:t>
      </w:r>
      <w:r w:rsidRPr="00472945">
        <w:t>d</w:t>
      </w:r>
      <w:r>
        <w:t>i</w:t>
      </w:r>
      <w:r w:rsidRPr="00472945">
        <w:t xml:space="preserve"> azioni, titoli di Stato di alta qualità e obbligazioni con rischio</w:t>
      </w:r>
      <w:r>
        <w:t xml:space="preserve"> creditizio</w:t>
      </w:r>
      <w:r w:rsidRPr="006B7C3D">
        <w:t xml:space="preserve">. </w:t>
      </w:r>
    </w:p>
    <w:p w14:paraId="0E1A0479" w14:textId="77777777" w:rsidR="00CD65C0" w:rsidRPr="006B7C3D" w:rsidRDefault="00CD65C0" w:rsidP="00710556">
      <w:pPr>
        <w:spacing w:after="0" w:line="240" w:lineRule="auto"/>
      </w:pPr>
    </w:p>
    <w:p w14:paraId="35EB8F47" w14:textId="617DFE84" w:rsidR="00AF3A8E" w:rsidRDefault="00CD65C0" w:rsidP="00CD65C0">
      <w:pPr>
        <w:spacing w:after="0" w:line="240" w:lineRule="auto"/>
        <w:rPr>
          <w:b/>
          <w:bCs/>
        </w:rPr>
      </w:pPr>
      <w:r>
        <w:rPr>
          <w:b/>
          <w:bCs/>
        </w:rPr>
        <w:t>A</w:t>
      </w:r>
      <w:r w:rsidRPr="00587CC7">
        <w:rPr>
          <w:b/>
          <w:bCs/>
        </w:rPr>
        <w:t>ttualmente</w:t>
      </w:r>
      <w:r>
        <w:rPr>
          <w:b/>
          <w:bCs/>
        </w:rPr>
        <w:t>,</w:t>
      </w:r>
      <w:r w:rsidRPr="00587CC7">
        <w:rPr>
          <w:b/>
          <w:bCs/>
        </w:rPr>
        <w:t xml:space="preserve"> </w:t>
      </w:r>
      <w:r>
        <w:t xml:space="preserve">solo </w:t>
      </w:r>
      <w:r w:rsidR="00AF3A8E">
        <w:t xml:space="preserve">qualche mese dopo, </w:t>
      </w:r>
      <w:r w:rsidR="00AF3A8E" w:rsidRPr="00587CC7">
        <w:rPr>
          <w:b/>
          <w:bCs/>
        </w:rPr>
        <w:t>le stime di consenso prevedono una continua espansione, una ripresa delle pressioni inflazionistiche e un limitato allentamento da parte delle banche centrali.</w:t>
      </w:r>
      <w:r w:rsidR="00AF3A8E" w:rsidRPr="00DB5EC0">
        <w:t xml:space="preserve"> </w:t>
      </w:r>
      <w:r w:rsidR="00AF3A8E">
        <w:t>Pur non aspettandoci uno scenario di ‘no landing’</w:t>
      </w:r>
      <w:r w:rsidR="00AF3A8E" w:rsidRPr="00DB5EC0">
        <w:t xml:space="preserve">, </w:t>
      </w:r>
      <w:r w:rsidR="00AF3A8E">
        <w:t>riteniamo che</w:t>
      </w:r>
      <w:r w:rsidR="00AF3A8E" w:rsidRPr="00DB5EC0">
        <w:t xml:space="preserve"> </w:t>
      </w:r>
      <w:r w:rsidR="00AF3A8E" w:rsidRPr="00587CC7">
        <w:rPr>
          <w:b/>
          <w:bCs/>
        </w:rPr>
        <w:t>la recessione sia fuori discussione almeno per i prossimi sei mesi.</w:t>
      </w:r>
    </w:p>
    <w:p w14:paraId="44423B53" w14:textId="77777777" w:rsidR="00CD65C0" w:rsidRPr="00587CC7" w:rsidRDefault="00CD65C0" w:rsidP="00710556">
      <w:pPr>
        <w:spacing w:after="0" w:line="240" w:lineRule="auto"/>
        <w:rPr>
          <w:b/>
          <w:bCs/>
        </w:rPr>
      </w:pPr>
    </w:p>
    <w:p w14:paraId="28E45DC0" w14:textId="77777777" w:rsidR="00AF3A8E" w:rsidRPr="00F55B40" w:rsidRDefault="00AF3A8E" w:rsidP="00710556">
      <w:pPr>
        <w:spacing w:after="0" w:line="240" w:lineRule="auto"/>
        <w:rPr>
          <w:u w:val="single"/>
        </w:rPr>
      </w:pPr>
      <w:r>
        <w:rPr>
          <w:u w:val="single"/>
        </w:rPr>
        <w:t>Verso una maggiore crescita a livello globale</w:t>
      </w:r>
    </w:p>
    <w:p w14:paraId="5BED691D" w14:textId="399A0252" w:rsidR="00AF3A8E" w:rsidRDefault="00AF3A8E" w:rsidP="00CD65C0">
      <w:pPr>
        <w:spacing w:after="0" w:line="240" w:lineRule="auto"/>
      </w:pPr>
      <w:r>
        <w:t>L</w:t>
      </w:r>
      <w:r w:rsidRPr="00BC58E9">
        <w:t>e stime di consenso continua</w:t>
      </w:r>
      <w:r>
        <w:t>no</w:t>
      </w:r>
      <w:r w:rsidRPr="00BC58E9">
        <w:t xml:space="preserve"> </w:t>
      </w:r>
      <w:r w:rsidRPr="00AF3A8E">
        <w:t>a ipotizzare un eccezionalismo per gli Usa</w:t>
      </w:r>
      <w:r w:rsidRPr="00BC58E9">
        <w:t>, la cui espansione supera facilmente l</w:t>
      </w:r>
      <w:r>
        <w:t xml:space="preserve">’anemica </w:t>
      </w:r>
      <w:r w:rsidRPr="00BC58E9">
        <w:t xml:space="preserve">crescita </w:t>
      </w:r>
      <w:r>
        <w:t>degli</w:t>
      </w:r>
      <w:r w:rsidRPr="00BC58E9">
        <w:t xml:space="preserve"> altri mercati sviluppati. </w:t>
      </w:r>
      <w:r>
        <w:t>Tuttavia,</w:t>
      </w:r>
      <w:r w:rsidRPr="00BC58E9">
        <w:t xml:space="preserve"> </w:t>
      </w:r>
      <w:r w:rsidRPr="00587CC7">
        <w:rPr>
          <w:b/>
          <w:bCs/>
        </w:rPr>
        <w:t>la crescita statunitense ha deluso le aspettative nel primo trimestre. Gli indicatori anticipatori dell'Eurozona stanno salendo rapidamente</w:t>
      </w:r>
      <w:r w:rsidRPr="00710556">
        <w:t>,</w:t>
      </w:r>
      <w:r w:rsidRPr="00587CC7">
        <w:rPr>
          <w:b/>
          <w:bCs/>
        </w:rPr>
        <w:t xml:space="preserve"> </w:t>
      </w:r>
      <w:r w:rsidRPr="00AF3A8E">
        <w:t>ma potremmo facilmente assistere a un</w:t>
      </w:r>
      <w:r w:rsidRPr="00587CC7">
        <w:rPr>
          <w:b/>
          <w:bCs/>
        </w:rPr>
        <w:t xml:space="preserve"> allargamento generale della crescita globale</w:t>
      </w:r>
      <w:r w:rsidRPr="00BC58E9">
        <w:t xml:space="preserve"> </w:t>
      </w:r>
      <w:r>
        <w:t>che ridimensionerebbe</w:t>
      </w:r>
      <w:r w:rsidRPr="00BC58E9">
        <w:t xml:space="preserve"> la narrativa </w:t>
      </w:r>
      <w:r>
        <w:t xml:space="preserve">dell’eccezionalismo </w:t>
      </w:r>
      <w:r w:rsidRPr="00BC58E9">
        <w:t>degli Stati Uniti.</w:t>
      </w:r>
    </w:p>
    <w:p w14:paraId="7FFA159F" w14:textId="77777777" w:rsidR="00CD65C0" w:rsidRPr="00873BE5" w:rsidRDefault="00CD65C0" w:rsidP="00710556">
      <w:pPr>
        <w:spacing w:after="0" w:line="240" w:lineRule="auto"/>
      </w:pPr>
    </w:p>
    <w:p w14:paraId="3DE6599F" w14:textId="77777777" w:rsidR="00AF3A8E" w:rsidRDefault="00AF3A8E" w:rsidP="00CD65C0">
      <w:pPr>
        <w:spacing w:after="0" w:line="240" w:lineRule="auto"/>
      </w:pPr>
      <w:r>
        <w:t>L</w:t>
      </w:r>
      <w:r w:rsidRPr="006C30E8">
        <w:t xml:space="preserve">a </w:t>
      </w:r>
      <w:r>
        <w:t>Bce</w:t>
      </w:r>
      <w:r w:rsidRPr="006C30E8">
        <w:t xml:space="preserve"> è stata la prima banca centrale dei mercati sviluppati a tagliare i tassi d</w:t>
      </w:r>
      <w:r>
        <w:t>’</w:t>
      </w:r>
      <w:r w:rsidRPr="006C30E8">
        <w:t>interesse</w:t>
      </w:r>
      <w:r>
        <w:t>, a giugno</w:t>
      </w:r>
      <w:r w:rsidRPr="006C30E8">
        <w:t xml:space="preserve">. </w:t>
      </w:r>
      <w:r>
        <w:t>La</w:t>
      </w:r>
      <w:r w:rsidRPr="006C30E8">
        <w:t xml:space="preserve"> </w:t>
      </w:r>
      <w:r w:rsidRPr="007E18EC">
        <w:t xml:space="preserve">Bank of England </w:t>
      </w:r>
      <w:r>
        <w:t>e la</w:t>
      </w:r>
      <w:r w:rsidRPr="006C30E8">
        <w:t xml:space="preserve"> Federal Reserve</w:t>
      </w:r>
      <w:r>
        <w:t xml:space="preserve"> sembrano destinate a seguirne l’esempio</w:t>
      </w:r>
      <w:r w:rsidRPr="006C30E8">
        <w:t xml:space="preserve">. A causa del punto di partenza più debole </w:t>
      </w:r>
      <w:r>
        <w:t xml:space="preserve">per </w:t>
      </w:r>
      <w:r w:rsidRPr="006C30E8">
        <w:t>l'economia dell'</w:t>
      </w:r>
      <w:r>
        <w:t>E</w:t>
      </w:r>
      <w:r w:rsidRPr="006C30E8">
        <w:t xml:space="preserve">urozona, </w:t>
      </w:r>
      <w:r>
        <w:t>riteniamo</w:t>
      </w:r>
      <w:r w:rsidRPr="006C30E8">
        <w:t xml:space="preserve"> che </w:t>
      </w:r>
      <w:r w:rsidRPr="00587CC7">
        <w:rPr>
          <w:b/>
          <w:bCs/>
        </w:rPr>
        <w:t>la Bce procederà al maggior numero di tagli in assoluto nel 2024, mentre la Fed, a causa di un'inflazione vischiosa, si limiterà a uno, o forse due tagli dei tassi di 25 punti base ciascuno</w:t>
      </w:r>
      <w:r w:rsidRPr="006C30E8">
        <w:t>.</w:t>
      </w:r>
    </w:p>
    <w:p w14:paraId="172D8033" w14:textId="77777777" w:rsidR="00CD65C0" w:rsidRDefault="00CD65C0" w:rsidP="00710556">
      <w:pPr>
        <w:spacing w:after="0" w:line="240" w:lineRule="auto"/>
      </w:pPr>
    </w:p>
    <w:p w14:paraId="49090BAB" w14:textId="77777777" w:rsidR="00AF3A8E" w:rsidRPr="00F55B40" w:rsidRDefault="00AF3A8E" w:rsidP="00710556">
      <w:pPr>
        <w:spacing w:after="0" w:line="240" w:lineRule="auto"/>
        <w:rPr>
          <w:u w:val="single"/>
        </w:rPr>
      </w:pPr>
      <w:r w:rsidRPr="00F55B40">
        <w:rPr>
          <w:u w:val="single"/>
        </w:rPr>
        <w:t>Quale sarà la direzione della politica monetaria nel 2025?</w:t>
      </w:r>
    </w:p>
    <w:p w14:paraId="7B116FF7" w14:textId="6457D1A3" w:rsidR="00AF3A8E" w:rsidRDefault="00AF3A8E" w:rsidP="00CD65C0">
      <w:pPr>
        <w:spacing w:after="0" w:line="240" w:lineRule="auto"/>
      </w:pPr>
      <w:r w:rsidRPr="004806AB">
        <w:t xml:space="preserve">La domanda principale è: </w:t>
      </w:r>
      <w:r>
        <w:t xml:space="preserve">tutto questo </w:t>
      </w:r>
      <w:r w:rsidRPr="004806AB">
        <w:t xml:space="preserve">dove porterà la politica monetaria nel 2025? </w:t>
      </w:r>
      <w:r w:rsidRPr="00587CC7">
        <w:rPr>
          <w:b/>
          <w:bCs/>
        </w:rPr>
        <w:t>Anche modesti tagli dei tassi quest'anno potrebbero facilmente determinare una riaccelerazione della crescita e dell'inflazione, il che costringerebbe la Fed ad alzare i tassi di nuovo l'anno prossimo, con le altre banche centrali che ne seguirebbero l’esempio</w:t>
      </w:r>
      <w:r w:rsidRPr="004806AB">
        <w:t xml:space="preserve">. Ciò potrebbe significare che le banche centrali inaspriranno la </w:t>
      </w:r>
      <w:r>
        <w:t xml:space="preserve">propria </w:t>
      </w:r>
      <w:r w:rsidRPr="004806AB">
        <w:t xml:space="preserve">politica </w:t>
      </w:r>
      <w:r>
        <w:t>a fronte del</w:t>
      </w:r>
      <w:r w:rsidRPr="004806AB">
        <w:t xml:space="preserve">l'indebolimento del mercato del lavoro </w:t>
      </w:r>
      <w:r>
        <w:t>entrando nella</w:t>
      </w:r>
      <w:r w:rsidRPr="004806AB">
        <w:t xml:space="preserve"> prossima recessione.</w:t>
      </w:r>
    </w:p>
    <w:p w14:paraId="0BAC2ABD" w14:textId="77777777" w:rsidR="00CD65C0" w:rsidRPr="004806AB" w:rsidRDefault="00CD65C0" w:rsidP="00710556">
      <w:pPr>
        <w:spacing w:after="0" w:line="240" w:lineRule="auto"/>
      </w:pPr>
    </w:p>
    <w:p w14:paraId="6701568E" w14:textId="18124FDB" w:rsidR="00AF3A8E" w:rsidRDefault="00AF3A8E" w:rsidP="00710556">
      <w:pPr>
        <w:spacing w:after="0" w:line="240" w:lineRule="auto"/>
      </w:pPr>
      <w:r w:rsidRPr="00732A72">
        <w:t>In questo scenario insolito, ci aspett</w:t>
      </w:r>
      <w:r w:rsidR="00CD65C0">
        <w:t>iamo</w:t>
      </w:r>
      <w:r w:rsidRPr="00732A72">
        <w:t xml:space="preserve"> una maggiore divergenza </w:t>
      </w:r>
      <w:r>
        <w:t>dei ricavi</w:t>
      </w:r>
      <w:r w:rsidRPr="00732A72">
        <w:t>, man mano che gli investitori analizzano le implicazioni per i settori e i singoli titoli. Una gestione attiva del portafoglio, incentrata sull'analisi</w:t>
      </w:r>
      <w:r>
        <w:t xml:space="preserve"> dei</w:t>
      </w:r>
      <w:r w:rsidRPr="00732A72">
        <w:t xml:space="preserve"> fondamental</w:t>
      </w:r>
      <w:r>
        <w:t>i</w:t>
      </w:r>
      <w:r w:rsidRPr="00732A72">
        <w:t xml:space="preserve"> e sul valore relativo, </w:t>
      </w:r>
      <w:r>
        <w:t>sarebbe essenziale</w:t>
      </w:r>
      <w:r w:rsidRPr="00732A72">
        <w:t xml:space="preserve"> in questo contesto.</w:t>
      </w:r>
    </w:p>
    <w:p w14:paraId="49753367" w14:textId="77777777" w:rsidR="00AF3A8E" w:rsidRPr="00AF3A8E" w:rsidRDefault="00AF3A8E" w:rsidP="00710556">
      <w:pPr>
        <w:spacing w:after="0" w:line="240" w:lineRule="auto"/>
        <w:rPr>
          <w:b/>
          <w:bCs/>
        </w:rPr>
      </w:pPr>
    </w:p>
    <w:p w14:paraId="10501ADF" w14:textId="3ACB98BC" w:rsidR="00B7644D" w:rsidRPr="00587CC7" w:rsidRDefault="00AF3A8E" w:rsidP="00710556">
      <w:pPr>
        <w:spacing w:after="0" w:line="240" w:lineRule="auto"/>
        <w:rPr>
          <w:b/>
          <w:bCs/>
          <w:u w:val="single"/>
        </w:rPr>
      </w:pPr>
      <w:r w:rsidRPr="00587CC7">
        <w:rPr>
          <w:b/>
          <w:bCs/>
          <w:u w:val="single"/>
        </w:rPr>
        <w:t>C</w:t>
      </w:r>
      <w:r w:rsidR="006054E4" w:rsidRPr="00587CC7">
        <w:rPr>
          <w:b/>
          <w:bCs/>
          <w:u w:val="single"/>
        </w:rPr>
        <w:t>osa aspettarsi da Bce, Boe e Boj nella seconda metà dell’anno</w:t>
      </w:r>
    </w:p>
    <w:p w14:paraId="405A9C53" w14:textId="77777777" w:rsidR="00CD65C0" w:rsidRPr="00710556" w:rsidRDefault="00CD65C0" w:rsidP="00CD65C0">
      <w:pPr>
        <w:spacing w:after="0" w:line="240" w:lineRule="auto"/>
        <w:rPr>
          <w:sz w:val="10"/>
          <w:szCs w:val="10"/>
        </w:rPr>
      </w:pPr>
    </w:p>
    <w:p w14:paraId="71692111" w14:textId="71C8D32F" w:rsidR="002C3BEF" w:rsidRPr="00587CC7" w:rsidRDefault="002C3BEF" w:rsidP="00710556">
      <w:pPr>
        <w:spacing w:after="0" w:line="240" w:lineRule="auto"/>
        <w:rPr>
          <w:lang w:val="en-US"/>
        </w:rPr>
      </w:pPr>
      <w:r w:rsidRPr="00587CC7">
        <w:rPr>
          <w:lang w:val="en-US"/>
        </w:rPr>
        <w:t xml:space="preserve">A cura di </w:t>
      </w:r>
      <w:r w:rsidRPr="00587CC7">
        <w:rPr>
          <w:b/>
          <w:bCs/>
          <w:lang w:val="en-US"/>
        </w:rPr>
        <w:t>Ken Orchard, Head of International Fixed Income, T. Rowe Price</w:t>
      </w:r>
    </w:p>
    <w:p w14:paraId="236E7453" w14:textId="77777777" w:rsidR="00CD65C0" w:rsidRPr="00710556" w:rsidRDefault="00CD65C0" w:rsidP="00CD65C0">
      <w:pPr>
        <w:spacing w:after="0" w:line="240" w:lineRule="auto"/>
        <w:rPr>
          <w:lang w:val="en-US"/>
        </w:rPr>
      </w:pPr>
    </w:p>
    <w:p w14:paraId="47005BC7" w14:textId="7C9CB8E7" w:rsidR="00B7644D" w:rsidRDefault="00FC2BC3" w:rsidP="00CD65C0">
      <w:pPr>
        <w:spacing w:after="0" w:line="240" w:lineRule="auto"/>
      </w:pPr>
      <w:r w:rsidRPr="00FC2BC3">
        <w:t xml:space="preserve">Per tutte le banche centrali dei mercati sviluppati (esclusa la Bank of Japan, che rappresenta un'eccezione), la politica monetaria è piuttosto </w:t>
      </w:r>
      <w:r w:rsidRPr="00560A43">
        <w:t>rigida</w:t>
      </w:r>
      <w:r w:rsidR="00B7644D" w:rsidRPr="00560A43">
        <w:t>.</w:t>
      </w:r>
      <w:r w:rsidR="00B7644D" w:rsidRPr="007A7F4A">
        <w:t xml:space="preserve"> </w:t>
      </w:r>
      <w:r w:rsidR="00E1057D">
        <w:t>Per</w:t>
      </w:r>
      <w:r w:rsidR="00E1057D" w:rsidRPr="00B27518">
        <w:t xml:space="preserve"> </w:t>
      </w:r>
      <w:r w:rsidR="00B27518" w:rsidRPr="00B27518">
        <w:t xml:space="preserve">evitare di far precipitare le </w:t>
      </w:r>
      <w:r w:rsidR="00780D82">
        <w:t>rispettive</w:t>
      </w:r>
      <w:r w:rsidR="00B27518" w:rsidRPr="00B27518">
        <w:t xml:space="preserve"> economie in recessione</w:t>
      </w:r>
      <w:r w:rsidR="00E1057D">
        <w:t xml:space="preserve">, </w:t>
      </w:r>
      <w:r w:rsidR="00E1057D" w:rsidRPr="00587CC7">
        <w:rPr>
          <w:b/>
          <w:bCs/>
        </w:rPr>
        <w:t xml:space="preserve">le banche centrali potrebbero </w:t>
      </w:r>
      <w:r w:rsidR="00B27518" w:rsidRPr="00587CC7">
        <w:rPr>
          <w:b/>
          <w:bCs/>
        </w:rPr>
        <w:t>effettuare tagli</w:t>
      </w:r>
      <w:r w:rsidR="00560A43" w:rsidRPr="00587CC7">
        <w:rPr>
          <w:b/>
          <w:bCs/>
        </w:rPr>
        <w:t>,</w:t>
      </w:r>
      <w:r w:rsidR="00B27518" w:rsidRPr="00587CC7">
        <w:rPr>
          <w:b/>
          <w:bCs/>
        </w:rPr>
        <w:t xml:space="preserve"> pur mantenendo un orientamento </w:t>
      </w:r>
      <w:r w:rsidR="00780D82" w:rsidRPr="00587CC7">
        <w:rPr>
          <w:b/>
          <w:bCs/>
        </w:rPr>
        <w:t xml:space="preserve">restrittivo a livello </w:t>
      </w:r>
      <w:r w:rsidR="00B27518" w:rsidRPr="00587CC7">
        <w:rPr>
          <w:b/>
          <w:bCs/>
        </w:rPr>
        <w:t>di politica monetaria.</w:t>
      </w:r>
      <w:r w:rsidR="00B27518" w:rsidRPr="00B27518">
        <w:t xml:space="preserve"> </w:t>
      </w:r>
      <w:r w:rsidR="006054E4">
        <w:t>P</w:t>
      </w:r>
      <w:r w:rsidR="00780D82" w:rsidRPr="00B27518">
        <w:t>robabilmente</w:t>
      </w:r>
      <w:r w:rsidR="00E1057D">
        <w:t xml:space="preserve"> allenteranno</w:t>
      </w:r>
      <w:r w:rsidR="00780D82" w:rsidRPr="00B27518">
        <w:t xml:space="preserve"> </w:t>
      </w:r>
      <w:r w:rsidR="00B27518" w:rsidRPr="00B27518">
        <w:t>in modo proattivo</w:t>
      </w:r>
      <w:r w:rsidR="00780D82">
        <w:t>,</w:t>
      </w:r>
      <w:r w:rsidR="00B27518" w:rsidRPr="00B27518">
        <w:t xml:space="preserve"> se l'inflazione lo consent</w:t>
      </w:r>
      <w:r w:rsidR="00780D82">
        <w:t>irà</w:t>
      </w:r>
      <w:r w:rsidR="00E1057D">
        <w:t>. Tuttavia,</w:t>
      </w:r>
      <w:r w:rsidR="00B27518" w:rsidRPr="00B27518">
        <w:t xml:space="preserve"> se </w:t>
      </w:r>
      <w:r w:rsidR="00780D82">
        <w:t xml:space="preserve">dovessero </w:t>
      </w:r>
      <w:r w:rsidR="00B27518" w:rsidRPr="00B27518">
        <w:t>a</w:t>
      </w:r>
      <w:r w:rsidR="00780D82">
        <w:t>ttendere</w:t>
      </w:r>
      <w:r w:rsidR="00B27518" w:rsidRPr="00B27518">
        <w:t xml:space="preserve"> che l'attività economica crolli prima di </w:t>
      </w:r>
      <w:r w:rsidR="00780D82">
        <w:t>effettuare dei tagli</w:t>
      </w:r>
      <w:r w:rsidR="00B27518" w:rsidRPr="00B27518">
        <w:t xml:space="preserve">, saranno molto indietro rispetto alla curva, perché il ritorno alla neutralità sarà molto </w:t>
      </w:r>
      <w:r w:rsidR="00B27518" w:rsidRPr="00BF34C2">
        <w:t>lungo</w:t>
      </w:r>
      <w:r w:rsidR="00B7644D" w:rsidRPr="00BF34C2">
        <w:t>.</w:t>
      </w:r>
    </w:p>
    <w:p w14:paraId="4B1B5D9C" w14:textId="77777777" w:rsidR="00CD65C0" w:rsidRPr="007A7F4A" w:rsidRDefault="00CD65C0" w:rsidP="00710556">
      <w:pPr>
        <w:spacing w:after="0" w:line="240" w:lineRule="auto"/>
      </w:pPr>
    </w:p>
    <w:p w14:paraId="73CDB43C" w14:textId="3A3F1767" w:rsidR="00B7644D" w:rsidRPr="00587CC7" w:rsidRDefault="00BF34C2" w:rsidP="00710556">
      <w:pPr>
        <w:spacing w:after="0" w:line="240" w:lineRule="auto"/>
        <w:rPr>
          <w:u w:val="single"/>
        </w:rPr>
      </w:pPr>
      <w:r w:rsidRPr="00587CC7">
        <w:rPr>
          <w:u w:val="single"/>
        </w:rPr>
        <w:t>I timori di flessioni sul mercato del lavoro inducono la B</w:t>
      </w:r>
      <w:r w:rsidR="006054E4">
        <w:rPr>
          <w:u w:val="single"/>
        </w:rPr>
        <w:t>ce</w:t>
      </w:r>
      <w:r w:rsidRPr="00587CC7">
        <w:rPr>
          <w:u w:val="single"/>
        </w:rPr>
        <w:t xml:space="preserve"> ad agire</w:t>
      </w:r>
    </w:p>
    <w:p w14:paraId="62849846" w14:textId="4D168130" w:rsidR="00F26C27" w:rsidRPr="00F26C27" w:rsidRDefault="00F26C27" w:rsidP="00710556">
      <w:pPr>
        <w:spacing w:after="0" w:line="240" w:lineRule="auto"/>
      </w:pPr>
      <w:r w:rsidRPr="00F26C27">
        <w:lastRenderedPageBreak/>
        <w:t>L'inflazione dell'Eurozona è scesa</w:t>
      </w:r>
      <w:r w:rsidR="00760F22">
        <w:t>,</w:t>
      </w:r>
      <w:r w:rsidRPr="00F26C27">
        <w:t xml:space="preserve"> al punto che la </w:t>
      </w:r>
      <w:r w:rsidR="00E1057D">
        <w:t>Bce</w:t>
      </w:r>
      <w:r w:rsidR="00E1057D" w:rsidRPr="00F26C27">
        <w:t xml:space="preserve"> </w:t>
      </w:r>
      <w:r w:rsidRPr="00F26C27">
        <w:t xml:space="preserve">ha potuto tagliare i tassi a giugno. I </w:t>
      </w:r>
      <w:r w:rsidR="00E1057D">
        <w:t xml:space="preserve">policymaker </w:t>
      </w:r>
      <w:r w:rsidRPr="00F26C27">
        <w:t>della B</w:t>
      </w:r>
      <w:r w:rsidR="00E1057D">
        <w:t>ce</w:t>
      </w:r>
      <w:r w:rsidRPr="00F26C27">
        <w:t xml:space="preserve"> ritengono che i datori di lavoro dell'Eurozona abbiano accumulato manodopera </w:t>
      </w:r>
      <w:r w:rsidR="00DB6725">
        <w:t>nel corso d</w:t>
      </w:r>
      <w:r w:rsidRPr="00F26C27">
        <w:t>egli ultimi 12 mesi</w:t>
      </w:r>
      <w:r w:rsidR="00DB6725">
        <w:t xml:space="preserve">, il che </w:t>
      </w:r>
      <w:r w:rsidRPr="00F26C27">
        <w:t xml:space="preserve">rende l'economia della regione </w:t>
      </w:r>
      <w:r>
        <w:t>incline a</w:t>
      </w:r>
      <w:r w:rsidRPr="00F26C27">
        <w:t xml:space="preserve"> una brusca flessione </w:t>
      </w:r>
      <w:r>
        <w:t xml:space="preserve">sul </w:t>
      </w:r>
      <w:r w:rsidRPr="00F26C27">
        <w:t>mercato del lavoro</w:t>
      </w:r>
      <w:r w:rsidR="00760F22">
        <w:t>,</w:t>
      </w:r>
      <w:r w:rsidRPr="00F26C27">
        <w:t xml:space="preserve"> se i margini di profitto delle imprese dovessero essere messi sotto pressione</w:t>
      </w:r>
      <w:r w:rsidR="00760F22">
        <w:t>,</w:t>
      </w:r>
      <w:r w:rsidRPr="00F26C27">
        <w:t xml:space="preserve"> </w:t>
      </w:r>
      <w:r>
        <w:t>a fronte di</w:t>
      </w:r>
      <w:r w:rsidRPr="00F26C27">
        <w:t xml:space="preserve"> una domanda finale più debole. </w:t>
      </w:r>
    </w:p>
    <w:p w14:paraId="4C9486C7" w14:textId="190B374E" w:rsidR="00B7644D" w:rsidRDefault="007A4E1F" w:rsidP="00CD65C0">
      <w:pPr>
        <w:spacing w:after="0" w:line="240" w:lineRule="auto"/>
        <w:rPr>
          <w:b/>
          <w:bCs/>
        </w:rPr>
      </w:pPr>
      <w:r w:rsidRPr="007A4E1F">
        <w:t xml:space="preserve">Le domande principali sono: </w:t>
      </w:r>
      <w:r w:rsidR="00DB6725">
        <w:t>quando saranno i prossimi tagli della Bce e</w:t>
      </w:r>
      <w:r w:rsidRPr="007A4E1F">
        <w:t xml:space="preserve"> quanto saranno consistenti? Il numero di tagli previsti è in costante diminuzione, ma riteniamo che </w:t>
      </w:r>
      <w:r w:rsidRPr="00587CC7">
        <w:rPr>
          <w:b/>
          <w:bCs/>
        </w:rPr>
        <w:t xml:space="preserve">la </w:t>
      </w:r>
      <w:r w:rsidR="00DB6725" w:rsidRPr="00587CC7">
        <w:rPr>
          <w:b/>
          <w:bCs/>
        </w:rPr>
        <w:t xml:space="preserve">Bce </w:t>
      </w:r>
      <w:r w:rsidRPr="00587CC7">
        <w:rPr>
          <w:b/>
          <w:bCs/>
        </w:rPr>
        <w:t xml:space="preserve">taglierà </w:t>
      </w:r>
      <w:r w:rsidR="00DB6725" w:rsidRPr="00587CC7">
        <w:rPr>
          <w:b/>
          <w:bCs/>
        </w:rPr>
        <w:t xml:space="preserve">i tassi </w:t>
      </w:r>
      <w:r w:rsidR="00760F22" w:rsidRPr="00587CC7">
        <w:rPr>
          <w:b/>
          <w:bCs/>
        </w:rPr>
        <w:t xml:space="preserve">probabilmente </w:t>
      </w:r>
      <w:r w:rsidRPr="00587CC7">
        <w:rPr>
          <w:b/>
          <w:bCs/>
        </w:rPr>
        <w:t xml:space="preserve">due volte prima della fine del 2024, </w:t>
      </w:r>
      <w:r w:rsidR="00760F22" w:rsidRPr="00587CC7">
        <w:rPr>
          <w:b/>
          <w:bCs/>
        </w:rPr>
        <w:t>anche se</w:t>
      </w:r>
      <w:r w:rsidRPr="00587CC7">
        <w:rPr>
          <w:b/>
          <w:bCs/>
        </w:rPr>
        <w:t xml:space="preserve"> i tagli potrebbero essere uno o</w:t>
      </w:r>
      <w:r w:rsidR="00CD65C0">
        <w:rPr>
          <w:b/>
          <w:bCs/>
        </w:rPr>
        <w:t>,</w:t>
      </w:r>
      <w:r w:rsidRPr="00587CC7">
        <w:rPr>
          <w:b/>
          <w:bCs/>
        </w:rPr>
        <w:t xml:space="preserve"> addirittura</w:t>
      </w:r>
      <w:r w:rsidR="00CD65C0">
        <w:rPr>
          <w:b/>
          <w:bCs/>
        </w:rPr>
        <w:t>,</w:t>
      </w:r>
      <w:r w:rsidRPr="00587CC7">
        <w:rPr>
          <w:b/>
          <w:bCs/>
        </w:rPr>
        <w:t xml:space="preserve"> tre</w:t>
      </w:r>
      <w:r w:rsidR="00B7644D" w:rsidRPr="00587CC7">
        <w:rPr>
          <w:b/>
          <w:bCs/>
        </w:rPr>
        <w:t>.</w:t>
      </w:r>
    </w:p>
    <w:p w14:paraId="5C0CA02F" w14:textId="77777777" w:rsidR="00CD65C0" w:rsidRPr="00587CC7" w:rsidRDefault="00CD65C0" w:rsidP="00710556">
      <w:pPr>
        <w:spacing w:after="0" w:line="240" w:lineRule="auto"/>
        <w:rPr>
          <w:b/>
          <w:bCs/>
        </w:rPr>
      </w:pPr>
    </w:p>
    <w:p w14:paraId="79036059" w14:textId="002874F2" w:rsidR="00B7644D" w:rsidRPr="00587CC7" w:rsidRDefault="00DF6644" w:rsidP="00710556">
      <w:pPr>
        <w:spacing w:after="0" w:line="240" w:lineRule="auto"/>
        <w:rPr>
          <w:u w:val="single"/>
        </w:rPr>
      </w:pPr>
      <w:r w:rsidRPr="00587CC7">
        <w:rPr>
          <w:u w:val="single"/>
        </w:rPr>
        <w:t xml:space="preserve">La BoE probabilmente seguirà nel terzo trimestre </w:t>
      </w:r>
    </w:p>
    <w:p w14:paraId="1194314B" w14:textId="3C84FF52" w:rsidR="00B7644D" w:rsidRDefault="00504423" w:rsidP="00CD65C0">
      <w:pPr>
        <w:spacing w:after="0" w:line="240" w:lineRule="auto"/>
        <w:rPr>
          <w:b/>
          <w:bCs/>
        </w:rPr>
      </w:pPr>
      <w:r w:rsidRPr="00504423">
        <w:t xml:space="preserve">Si </w:t>
      </w:r>
      <w:r w:rsidR="005121E2">
        <w:t>sono nutrite</w:t>
      </w:r>
      <w:r w:rsidR="0052349B">
        <w:t xml:space="preserve"> </w:t>
      </w:r>
      <w:r w:rsidR="005121E2">
        <w:t>speranze</w:t>
      </w:r>
      <w:r w:rsidRPr="00504423">
        <w:t xml:space="preserve"> che la BoE </w:t>
      </w:r>
      <w:r w:rsidR="0052349B">
        <w:t>avrebbe seguito</w:t>
      </w:r>
      <w:r w:rsidRPr="00504423">
        <w:t xml:space="preserve"> a ruota la B</w:t>
      </w:r>
      <w:r w:rsidR="00DB6725">
        <w:t>ce</w:t>
      </w:r>
      <w:r w:rsidR="0052349B">
        <w:t xml:space="preserve">, con un taglio dei </w:t>
      </w:r>
      <w:r w:rsidRPr="00504423">
        <w:t xml:space="preserve">tassi </w:t>
      </w:r>
      <w:r>
        <w:t>a fine</w:t>
      </w:r>
      <w:r w:rsidRPr="00504423">
        <w:t xml:space="preserve"> giugno, ma riteniamo che </w:t>
      </w:r>
      <w:r>
        <w:t xml:space="preserve">tutto questo </w:t>
      </w:r>
      <w:r w:rsidRPr="00504423">
        <w:t xml:space="preserve">potrebbe </w:t>
      </w:r>
      <w:r>
        <w:t>avvenire</w:t>
      </w:r>
      <w:r w:rsidRPr="00504423">
        <w:t xml:space="preserve"> un po' più tardi. </w:t>
      </w:r>
      <w:r>
        <w:t xml:space="preserve">A </w:t>
      </w:r>
      <w:r w:rsidRPr="00587CC7">
        <w:rPr>
          <w:b/>
          <w:bCs/>
        </w:rPr>
        <w:t>fronte dei timidi segnali di ripresa dell'economia britannica, la BoE potrebbe non ritenere di dover tagliare i tassi in modo affrettato e probabilmente aspetterà l'autunno prima di farlo</w:t>
      </w:r>
      <w:r w:rsidR="00B7644D" w:rsidRPr="00587CC7">
        <w:rPr>
          <w:b/>
          <w:bCs/>
        </w:rPr>
        <w:t>.</w:t>
      </w:r>
    </w:p>
    <w:p w14:paraId="514F4016" w14:textId="77777777" w:rsidR="00CD65C0" w:rsidRPr="00587CC7" w:rsidRDefault="00CD65C0" w:rsidP="00710556">
      <w:pPr>
        <w:spacing w:after="0" w:line="240" w:lineRule="auto"/>
        <w:rPr>
          <w:b/>
          <w:bCs/>
        </w:rPr>
      </w:pPr>
    </w:p>
    <w:p w14:paraId="7D33C091" w14:textId="76B6E7C7" w:rsidR="00B7644D" w:rsidRPr="00587CC7" w:rsidRDefault="0010594C" w:rsidP="00710556">
      <w:pPr>
        <w:spacing w:after="0" w:line="240" w:lineRule="auto"/>
        <w:rPr>
          <w:u w:val="single"/>
        </w:rPr>
      </w:pPr>
      <w:r w:rsidRPr="00587CC7">
        <w:rPr>
          <w:u w:val="single"/>
        </w:rPr>
        <w:t xml:space="preserve">Graduale inasprimento da parte della BoJ </w:t>
      </w:r>
    </w:p>
    <w:p w14:paraId="104C097F" w14:textId="13621DC6" w:rsidR="0014315D" w:rsidRDefault="0014315D" w:rsidP="00710556">
      <w:pPr>
        <w:spacing w:after="0" w:line="240" w:lineRule="auto"/>
      </w:pPr>
      <w:r w:rsidRPr="0014315D">
        <w:t xml:space="preserve">Anche il Giappone ha </w:t>
      </w:r>
      <w:r>
        <w:t>dovuto fare i conti con</w:t>
      </w:r>
      <w:r w:rsidRPr="0014315D">
        <w:t xml:space="preserve"> l'inflazione, ma più per la sua </w:t>
      </w:r>
      <w:r w:rsidR="000664DA">
        <w:t>assenza,</w:t>
      </w:r>
      <w:r w:rsidRPr="0014315D">
        <w:t xml:space="preserve"> che per l'aumento troppo rapido dei prezzi. Dopo aver abbandonato la politica dei tassi sott</w:t>
      </w:r>
      <w:r w:rsidR="00E81A8D">
        <w:t>o</w:t>
      </w:r>
      <w:r w:rsidRPr="0014315D">
        <w:t xml:space="preserve">zero all'inizio del 2024, prevediamo che </w:t>
      </w:r>
      <w:r w:rsidRPr="00587CC7">
        <w:rPr>
          <w:b/>
          <w:bCs/>
        </w:rPr>
        <w:t xml:space="preserve">la BoJ continuerà a inasprire gradualmente </w:t>
      </w:r>
      <w:r w:rsidR="00A649A2">
        <w:rPr>
          <w:b/>
          <w:bCs/>
        </w:rPr>
        <w:t>le misure</w:t>
      </w:r>
      <w:r w:rsidRPr="00587CC7">
        <w:rPr>
          <w:b/>
          <w:bCs/>
        </w:rPr>
        <w:t>, pur mantenendo un tono sufficientemente conciliante</w:t>
      </w:r>
      <w:r w:rsidRPr="0014315D">
        <w:t xml:space="preserve"> </w:t>
      </w:r>
      <w:r w:rsidR="000664DA">
        <w:t xml:space="preserve">al fine di </w:t>
      </w:r>
      <w:r w:rsidRPr="0014315D">
        <w:t xml:space="preserve">evitare che il mercato vanifichi il suo lavoro di stimolo dell'inflazione. Inasprendo la </w:t>
      </w:r>
      <w:r w:rsidR="00603447">
        <w:t xml:space="preserve">sua </w:t>
      </w:r>
      <w:r w:rsidRPr="0014315D">
        <w:t>politica, la BoJ sosterrebbe anche lo yen che</w:t>
      </w:r>
      <w:r w:rsidR="000664DA">
        <w:t>,</w:t>
      </w:r>
      <w:r w:rsidRPr="0014315D">
        <w:t xml:space="preserve"> nel 2024</w:t>
      </w:r>
      <w:r w:rsidR="000664DA">
        <w:t>,</w:t>
      </w:r>
      <w:r w:rsidRPr="0014315D">
        <w:t xml:space="preserve"> ha toccato </w:t>
      </w:r>
      <w:r w:rsidR="000664DA">
        <w:t>dei</w:t>
      </w:r>
      <w:r w:rsidRPr="0014315D">
        <w:t xml:space="preserve"> minimi pluridecennali rispetto alle altre principali </w:t>
      </w:r>
      <w:r w:rsidRPr="00780D82">
        <w:t>valute.</w:t>
      </w:r>
    </w:p>
    <w:p w14:paraId="5F00CFF9" w14:textId="3364FFA7" w:rsidR="00B7644D" w:rsidRPr="0014315D" w:rsidRDefault="00B7644D" w:rsidP="00710556">
      <w:pPr>
        <w:spacing w:after="0" w:line="240" w:lineRule="auto"/>
        <w:rPr>
          <w:b/>
          <w:bCs/>
        </w:rPr>
      </w:pPr>
    </w:p>
    <w:sectPr w:rsidR="00B7644D" w:rsidRPr="00143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4D"/>
    <w:rsid w:val="000664DA"/>
    <w:rsid w:val="0010594C"/>
    <w:rsid w:val="0014315D"/>
    <w:rsid w:val="00232194"/>
    <w:rsid w:val="002C3BEF"/>
    <w:rsid w:val="00330045"/>
    <w:rsid w:val="003E459E"/>
    <w:rsid w:val="00475FE0"/>
    <w:rsid w:val="004E28CD"/>
    <w:rsid w:val="00504423"/>
    <w:rsid w:val="005121E2"/>
    <w:rsid w:val="005203B1"/>
    <w:rsid w:val="0052349B"/>
    <w:rsid w:val="0056013E"/>
    <w:rsid w:val="00560A43"/>
    <w:rsid w:val="00587CC7"/>
    <w:rsid w:val="005D5F6A"/>
    <w:rsid w:val="00603447"/>
    <w:rsid w:val="006054E4"/>
    <w:rsid w:val="006B060A"/>
    <w:rsid w:val="006B426E"/>
    <w:rsid w:val="006C34A9"/>
    <w:rsid w:val="00710556"/>
    <w:rsid w:val="00716838"/>
    <w:rsid w:val="00760F22"/>
    <w:rsid w:val="00780D82"/>
    <w:rsid w:val="007A4E1F"/>
    <w:rsid w:val="007A7F4A"/>
    <w:rsid w:val="007B514B"/>
    <w:rsid w:val="00A649A2"/>
    <w:rsid w:val="00A90E9B"/>
    <w:rsid w:val="00AF3A8E"/>
    <w:rsid w:val="00B27518"/>
    <w:rsid w:val="00B7644D"/>
    <w:rsid w:val="00BD4F04"/>
    <w:rsid w:val="00BF34C2"/>
    <w:rsid w:val="00C22C08"/>
    <w:rsid w:val="00C52EED"/>
    <w:rsid w:val="00CD65C0"/>
    <w:rsid w:val="00DB6725"/>
    <w:rsid w:val="00DF6644"/>
    <w:rsid w:val="00E1057D"/>
    <w:rsid w:val="00E81A8D"/>
    <w:rsid w:val="00EB7F13"/>
    <w:rsid w:val="00F26C27"/>
    <w:rsid w:val="00FC2953"/>
    <w:rsid w:val="00FC2BC3"/>
    <w:rsid w:val="00F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3B7"/>
  <w15:chartTrackingRefBased/>
  <w15:docId w15:val="{D0F8DAB0-9A67-466C-99F4-470F1397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FC2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zonta</dc:creator>
  <cp:keywords/>
  <dc:description/>
  <cp:lastModifiedBy>Massimo Morici</cp:lastModifiedBy>
  <cp:revision>3</cp:revision>
  <dcterms:created xsi:type="dcterms:W3CDTF">2024-07-09T08:00:00Z</dcterms:created>
  <dcterms:modified xsi:type="dcterms:W3CDTF">2024-07-09T08:00:00Z</dcterms:modified>
</cp:coreProperties>
</file>