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3468B" w14:textId="5D599FD7" w:rsidR="002D474F" w:rsidRPr="00F738F0" w:rsidRDefault="00F738F0" w:rsidP="002D474F">
      <w:pPr>
        <w:rPr>
          <w:b/>
          <w:bCs/>
        </w:rPr>
      </w:pPr>
      <w:r w:rsidRPr="00F738F0">
        <w:rPr>
          <w:b/>
          <w:bCs/>
        </w:rPr>
        <w:t xml:space="preserve">TCW: Mercati emergenti, </w:t>
      </w:r>
      <w:r w:rsidR="00CF5945">
        <w:rPr>
          <w:b/>
          <w:bCs/>
        </w:rPr>
        <w:t>cinque</w:t>
      </w:r>
      <w:r w:rsidR="00187E27">
        <w:rPr>
          <w:b/>
          <w:bCs/>
        </w:rPr>
        <w:t xml:space="preserve"> trend da tenere sott’occhio</w:t>
      </w:r>
      <w:r w:rsidRPr="00F738F0">
        <w:rPr>
          <w:b/>
          <w:bCs/>
        </w:rPr>
        <w:t xml:space="preserve"> </w:t>
      </w:r>
      <w:r w:rsidR="00CF5945">
        <w:rPr>
          <w:b/>
          <w:bCs/>
        </w:rPr>
        <w:t>in</w:t>
      </w:r>
      <w:r w:rsidRPr="00F738F0">
        <w:rPr>
          <w:b/>
          <w:bCs/>
        </w:rPr>
        <w:t xml:space="preserve"> mondo </w:t>
      </w:r>
      <w:r w:rsidR="00CF5945">
        <w:rPr>
          <w:b/>
          <w:bCs/>
        </w:rPr>
        <w:t xml:space="preserve">sempre più </w:t>
      </w:r>
      <w:r w:rsidRPr="00F738F0">
        <w:rPr>
          <w:b/>
          <w:bCs/>
        </w:rPr>
        <w:t>multipolare</w:t>
      </w:r>
    </w:p>
    <w:p w14:paraId="667893CB" w14:textId="5255D10C" w:rsidR="00F738F0" w:rsidRPr="00F738F0" w:rsidRDefault="00F738F0" w:rsidP="002D474F">
      <w:pPr>
        <w:rPr>
          <w:lang w:val="en-US"/>
        </w:rPr>
      </w:pPr>
      <w:r w:rsidRPr="00F738F0">
        <w:rPr>
          <w:lang w:val="en-US"/>
        </w:rPr>
        <w:t xml:space="preserve">A cura di </w:t>
      </w:r>
      <w:r w:rsidRPr="00F738F0">
        <w:rPr>
          <w:b/>
          <w:bCs/>
          <w:lang w:val="en-US"/>
        </w:rPr>
        <w:t>David I. Robbins, Portfolio Manager e Group Managing Director Emerging Markets, TCW</w:t>
      </w:r>
      <w:r w:rsidR="00B45617">
        <w:rPr>
          <w:lang w:val="en-US"/>
        </w:rPr>
        <w:br/>
      </w:r>
    </w:p>
    <w:p w14:paraId="2FB2ECA3" w14:textId="0C17D875" w:rsidR="00BA36C0" w:rsidRPr="00E8542A" w:rsidRDefault="009442DF" w:rsidP="002D474F">
      <w:r w:rsidRPr="00CF4454">
        <w:t>Il mondo è cambiato e con esso sono cambiate le motivazioni per investire nei mercati emergenti</w:t>
      </w:r>
      <w:r>
        <w:t xml:space="preserve">, </w:t>
      </w:r>
      <w:r w:rsidR="00580ADA">
        <w:t>per via</w:t>
      </w:r>
      <w:r w:rsidRPr="00CF4454">
        <w:t xml:space="preserve"> dei cambiamenti secolari a livello macro e delle crescenti tensioni geopolitiche.</w:t>
      </w:r>
      <w:r w:rsidR="00580ADA" w:rsidRPr="00C708D8">
        <w:t xml:space="preserve"> </w:t>
      </w:r>
      <w:r w:rsidR="00580ADA" w:rsidRPr="00E8542A">
        <w:rPr>
          <w:b/>
          <w:bCs/>
        </w:rPr>
        <w:t>La storia dei mercati emergenti è passata da una convergenza con il mondo sviluppato a un'opportunità strategica e di diversificazione in un mondo multipolare</w:t>
      </w:r>
      <w:r w:rsidR="00580ADA" w:rsidRPr="00C708D8">
        <w:t xml:space="preserve">. </w:t>
      </w:r>
      <w:r w:rsidR="00BA36C0" w:rsidRPr="00E8542A">
        <w:t xml:space="preserve">Dopo la pandemia, </w:t>
      </w:r>
      <w:r>
        <w:t xml:space="preserve">oggi </w:t>
      </w:r>
      <w:r w:rsidR="00187E27">
        <w:t>sono ancora in corso</w:t>
      </w:r>
      <w:r w:rsidR="00BA36C0" w:rsidRPr="00E8542A">
        <w:t xml:space="preserve"> due guerre </w:t>
      </w:r>
      <w:r w:rsidR="00187E27">
        <w:t xml:space="preserve">mentre </w:t>
      </w:r>
      <w:r>
        <w:t>i</w:t>
      </w:r>
      <w:r w:rsidR="00BA36C0" w:rsidRPr="00E8542A">
        <w:t>l futuro dell'integrazione economica globale è sempre più in discussione</w:t>
      </w:r>
      <w:r w:rsidR="00187E27">
        <w:t>.</w:t>
      </w:r>
      <w:r w:rsidR="00580ADA">
        <w:t xml:space="preserve"> </w:t>
      </w:r>
      <w:r w:rsidR="00BA36C0" w:rsidRPr="00E8542A">
        <w:rPr>
          <w:b/>
          <w:bCs/>
        </w:rPr>
        <w:t xml:space="preserve">Il ritorno della competizione sistemica tra le democrazie, da un lato, e la Cina e la Russia, dall'altro, </w:t>
      </w:r>
      <w:r w:rsidRPr="00E8542A">
        <w:rPr>
          <w:b/>
          <w:bCs/>
        </w:rPr>
        <w:t>sta</w:t>
      </w:r>
      <w:r w:rsidR="00BA36C0" w:rsidRPr="00E8542A">
        <w:rPr>
          <w:b/>
          <w:bCs/>
        </w:rPr>
        <w:t xml:space="preserve"> porta</w:t>
      </w:r>
      <w:r w:rsidRPr="00E8542A">
        <w:rPr>
          <w:b/>
          <w:bCs/>
        </w:rPr>
        <w:t>nd</w:t>
      </w:r>
      <w:r w:rsidR="00BA36C0" w:rsidRPr="00E8542A">
        <w:rPr>
          <w:b/>
          <w:bCs/>
        </w:rPr>
        <w:t xml:space="preserve">o a una separazione dell'economia mondiale, che richiede nuove reti e nuove alleanze. </w:t>
      </w:r>
      <w:r w:rsidR="00580ADA" w:rsidRPr="00E8542A">
        <w:rPr>
          <w:b/>
          <w:bCs/>
        </w:rPr>
        <w:t>In questo contesto, l</w:t>
      </w:r>
      <w:r w:rsidR="00BA36C0" w:rsidRPr="00E8542A">
        <w:rPr>
          <w:b/>
          <w:bCs/>
        </w:rPr>
        <w:t>e motivazioni per investire nei mercati emergenti sono state ridefinite</w:t>
      </w:r>
      <w:r w:rsidR="00BA36C0" w:rsidRPr="00E8542A">
        <w:t xml:space="preserve">. L'importanza strategica dei Paesi emergenti per il mondo sviluppato sta aumentando, poiché sono diventati economie </w:t>
      </w:r>
      <w:r w:rsidR="005F4E91">
        <w:t>di connessione</w:t>
      </w:r>
      <w:r w:rsidR="00BA36C0" w:rsidRPr="00E8542A">
        <w:t xml:space="preserve"> rispetto agli Stati Uniti e alla Cina.</w:t>
      </w:r>
    </w:p>
    <w:p w14:paraId="0B9E8461" w14:textId="4141A050" w:rsidR="00BA36C0" w:rsidRPr="00E8542A" w:rsidRDefault="00BE2945" w:rsidP="002D474F">
      <w:r w:rsidRPr="00E8542A">
        <w:rPr>
          <w:u w:val="single"/>
        </w:rPr>
        <w:t>Aumentano gli upgrade</w:t>
      </w:r>
      <w:r>
        <w:br/>
      </w:r>
      <w:r w:rsidR="005F4E91" w:rsidRPr="00E8542A">
        <w:rPr>
          <w:b/>
          <w:bCs/>
        </w:rPr>
        <w:t xml:space="preserve">I fondamentali macro e le metriche del credito nel mondo emergente, sia sovrano </w:t>
      </w:r>
      <w:r w:rsidR="002D0438">
        <w:rPr>
          <w:b/>
          <w:bCs/>
        </w:rPr>
        <w:t>sia</w:t>
      </w:r>
      <w:r w:rsidR="005F4E91" w:rsidRPr="00E8542A">
        <w:rPr>
          <w:b/>
          <w:bCs/>
        </w:rPr>
        <w:t xml:space="preserve"> societario, sono migliorati </w:t>
      </w:r>
      <w:r w:rsidR="005F4E91" w:rsidRPr="00C708D8">
        <w:t>rispetto a</w:t>
      </w:r>
      <w:r w:rsidR="005F4E91">
        <w:t xml:space="preserve"> quelli delle</w:t>
      </w:r>
      <w:r w:rsidR="005F4E91" w:rsidRPr="00C708D8">
        <w:t xml:space="preserve"> economie sviluppate</w:t>
      </w:r>
      <w:r w:rsidR="005F4E91">
        <w:t>, dove</w:t>
      </w:r>
      <w:r w:rsidR="005F4E91" w:rsidRPr="00C708D8">
        <w:t xml:space="preserve"> continuano a esserci ampi disavanzi fiscali e </w:t>
      </w:r>
      <w:r w:rsidR="005F4E91">
        <w:lastRenderedPageBreak/>
        <w:t>l’</w:t>
      </w:r>
      <w:r w:rsidR="005F4E91" w:rsidRPr="00C708D8">
        <w:t>aumento del debito in rapporto al P</w:t>
      </w:r>
      <w:r w:rsidR="005F4E91">
        <w:t>il</w:t>
      </w:r>
      <w:r w:rsidR="005F4E91" w:rsidRPr="00C708D8">
        <w:t>.</w:t>
      </w:r>
      <w:r w:rsidR="005F4E91">
        <w:t xml:space="preserve"> </w:t>
      </w:r>
      <w:r w:rsidR="00BA36C0" w:rsidRPr="00E8542A">
        <w:t>Nel mondo sviluppato</w:t>
      </w:r>
      <w:r w:rsidR="005F4E91">
        <w:t xml:space="preserve"> pesano</w:t>
      </w:r>
      <w:r>
        <w:t xml:space="preserve"> </w:t>
      </w:r>
      <w:r w:rsidR="00BA36C0" w:rsidRPr="00E8542A">
        <w:t xml:space="preserve">anche </w:t>
      </w:r>
      <w:r w:rsidR="005F4E91">
        <w:t xml:space="preserve">le </w:t>
      </w:r>
      <w:r w:rsidR="00BA36C0" w:rsidRPr="00E8542A">
        <w:t xml:space="preserve">interruzioni </w:t>
      </w:r>
      <w:r>
        <w:t>a</w:t>
      </w:r>
      <w:r w:rsidR="00BA36C0" w:rsidRPr="00E8542A">
        <w:t xml:space="preserve">lla catena di approvvigionamento dovute al peggioramento delle tensioni commerciali tra Stati Uniti e Cina. Ciò si </w:t>
      </w:r>
      <w:r>
        <w:t xml:space="preserve">sta </w:t>
      </w:r>
      <w:r w:rsidR="00BA36C0" w:rsidRPr="00E8542A">
        <w:t>traduce</w:t>
      </w:r>
      <w:r>
        <w:t>ndo</w:t>
      </w:r>
      <w:r w:rsidR="00BA36C0" w:rsidRPr="00E8542A">
        <w:t xml:space="preserve"> in una </w:t>
      </w:r>
      <w:r w:rsidR="00BA36C0" w:rsidRPr="00E8542A">
        <w:rPr>
          <w:b/>
          <w:bCs/>
        </w:rPr>
        <w:t>regionalizzazione del commercio che, da un lato, avvantaggia i paesi dell'Europa centrale e orientale</w:t>
      </w:r>
      <w:r w:rsidR="00BE147B" w:rsidRPr="00E8542A">
        <w:rPr>
          <w:b/>
          <w:bCs/>
        </w:rPr>
        <w:t>,</w:t>
      </w:r>
      <w:r w:rsidR="00BA36C0" w:rsidRPr="00E8542A">
        <w:rPr>
          <w:b/>
          <w:bCs/>
        </w:rPr>
        <w:t xml:space="preserve"> il Messico e </w:t>
      </w:r>
      <w:r w:rsidRPr="00E8542A">
        <w:rPr>
          <w:b/>
          <w:bCs/>
        </w:rPr>
        <w:t>gli altri</w:t>
      </w:r>
      <w:r w:rsidR="00BA36C0" w:rsidRPr="00E8542A">
        <w:rPr>
          <w:b/>
          <w:bCs/>
        </w:rPr>
        <w:t xml:space="preserve"> paesi asiatici a scapito della Cina</w:t>
      </w:r>
      <w:r w:rsidR="00BA36C0" w:rsidRPr="00E8542A">
        <w:t>.</w:t>
      </w:r>
    </w:p>
    <w:p w14:paraId="04276000" w14:textId="41D553A6" w:rsidR="00BA36C0" w:rsidRPr="00E8542A" w:rsidRDefault="00BA36C0" w:rsidP="00BA36C0">
      <w:r w:rsidRPr="00E8542A">
        <w:t xml:space="preserve">I </w:t>
      </w:r>
      <w:r w:rsidR="006046D6">
        <w:t>p</w:t>
      </w:r>
      <w:r w:rsidRPr="00E8542A">
        <w:t xml:space="preserve">aesi emergenti hanno </w:t>
      </w:r>
      <w:r w:rsidR="005F4E91">
        <w:t>iniziato ad avviare</w:t>
      </w:r>
      <w:r w:rsidRPr="00E8542A">
        <w:t xml:space="preserve"> </w:t>
      </w:r>
      <w:r w:rsidRPr="00E8542A">
        <w:rPr>
          <w:b/>
          <w:bCs/>
        </w:rPr>
        <w:t xml:space="preserve">politiche macroeconomiche più prudenti, </w:t>
      </w:r>
      <w:r w:rsidR="00BE2945" w:rsidRPr="00E8542A">
        <w:rPr>
          <w:b/>
          <w:bCs/>
        </w:rPr>
        <w:t>con una</w:t>
      </w:r>
      <w:r w:rsidRPr="00E8542A">
        <w:rPr>
          <w:b/>
          <w:bCs/>
        </w:rPr>
        <w:t xml:space="preserve"> gestione fiscale più conservativa, una graduale riduzione dei sussidi e un crescente impegno nell'ortodossia monetaria attraverso l'inflation targeting</w:t>
      </w:r>
      <w:r w:rsidRPr="00E8542A">
        <w:t>.</w:t>
      </w:r>
      <w:r w:rsidR="00BE147B">
        <w:t xml:space="preserve"> </w:t>
      </w:r>
      <w:r w:rsidR="00BE2945">
        <w:t>M</w:t>
      </w:r>
      <w:r w:rsidRPr="00E8542A">
        <w:t>olti paesi</w:t>
      </w:r>
      <w:r w:rsidR="00BE2945">
        <w:t xml:space="preserve"> emergenti</w:t>
      </w:r>
      <w:r w:rsidRPr="00E8542A">
        <w:t xml:space="preserve"> hanno stabilito programmi con il F</w:t>
      </w:r>
      <w:r w:rsidR="002D0438">
        <w:t xml:space="preserve">ondo </w:t>
      </w:r>
      <w:r w:rsidRPr="00E8542A">
        <w:t>M</w:t>
      </w:r>
      <w:r w:rsidR="002D0438">
        <w:t xml:space="preserve">onetario </w:t>
      </w:r>
      <w:r w:rsidRPr="00E8542A">
        <w:t>I</w:t>
      </w:r>
      <w:r w:rsidR="002D0438">
        <w:t>nternazionale</w:t>
      </w:r>
      <w:r w:rsidRPr="00E8542A">
        <w:t xml:space="preserve"> o hanno ottenuto un </w:t>
      </w:r>
      <w:r w:rsidR="00BE2945">
        <w:t>aiuto</w:t>
      </w:r>
      <w:r w:rsidRPr="00E8542A">
        <w:t xml:space="preserve"> sostanziale da parte d</w:t>
      </w:r>
      <w:r w:rsidR="00BE147B">
        <w:t>i altri paesi</w:t>
      </w:r>
      <w:r w:rsidRPr="00E8542A">
        <w:t xml:space="preserve"> </w:t>
      </w:r>
      <w:r w:rsidR="00BE147B">
        <w:t>della regione</w:t>
      </w:r>
      <w:r w:rsidR="00BE2945">
        <w:t>; a</w:t>
      </w:r>
      <w:r w:rsidRPr="00E8542A">
        <w:t xml:space="preserve">ltri hanno istituito politiche più ortodosse dopo le elezioni o </w:t>
      </w:r>
      <w:bookmarkStart w:id="0" w:name="_Hlk170985212"/>
      <w:r w:rsidRPr="00E8542A">
        <w:t>hanno affrontato gli squilibri macro</w:t>
      </w:r>
      <w:r w:rsidR="005F4E91">
        <w:t>economici</w:t>
      </w:r>
      <w:r w:rsidRPr="00E8542A">
        <w:t xml:space="preserve"> da soli</w:t>
      </w:r>
      <w:bookmarkEnd w:id="0"/>
      <w:r w:rsidRPr="00E8542A">
        <w:t xml:space="preserve">. Di conseguenza, per la prima volta in oltre un decennio, </w:t>
      </w:r>
      <w:r w:rsidRPr="00E8542A">
        <w:rPr>
          <w:b/>
          <w:bCs/>
        </w:rPr>
        <w:t>stiamo iniziando a vedere un miglioramento del credito nell'intera asset class</w:t>
      </w:r>
      <w:r w:rsidRPr="00E8542A">
        <w:t xml:space="preserve">. </w:t>
      </w:r>
      <w:r w:rsidR="00BE2945">
        <w:t xml:space="preserve">E il 2024 </w:t>
      </w:r>
      <w:r w:rsidR="005F4E91">
        <w:t>sarà probabilmente</w:t>
      </w:r>
      <w:r w:rsidRPr="00E8542A">
        <w:t xml:space="preserve"> il primo anno in un decennio in cui vedremo più </w:t>
      </w:r>
      <w:r w:rsidR="00BE147B">
        <w:t>upgrade</w:t>
      </w:r>
      <w:r w:rsidRPr="00E8542A">
        <w:t xml:space="preserve"> che d</w:t>
      </w:r>
      <w:r w:rsidR="00BE147B">
        <w:t>owngrade</w:t>
      </w:r>
      <w:r w:rsidRPr="00E8542A">
        <w:t xml:space="preserve"> </w:t>
      </w:r>
      <w:r w:rsidR="00BE147B">
        <w:t xml:space="preserve">dei rating </w:t>
      </w:r>
      <w:r w:rsidRPr="00E8542A">
        <w:t xml:space="preserve">nello spazio </w:t>
      </w:r>
      <w:r w:rsidR="00BE2945">
        <w:t>dei mercati emergenti</w:t>
      </w:r>
      <w:r w:rsidRPr="00E8542A">
        <w:t>.</w:t>
      </w:r>
    </w:p>
    <w:p w14:paraId="0358DC93" w14:textId="5CB96AAD" w:rsidR="00837EFF" w:rsidRPr="00E8542A" w:rsidRDefault="00BE2945" w:rsidP="00837EFF">
      <w:r w:rsidRPr="00E8542A">
        <w:rPr>
          <w:u w:val="single"/>
        </w:rPr>
        <w:t>Focus su</w:t>
      </w:r>
      <w:r w:rsidR="00E8542A">
        <w:rPr>
          <w:u w:val="single"/>
        </w:rPr>
        <w:t xml:space="preserve"> materie prime</w:t>
      </w:r>
      <w:r w:rsidR="00056D82">
        <w:rPr>
          <w:u w:val="single"/>
        </w:rPr>
        <w:t xml:space="preserve"> ed energia</w:t>
      </w:r>
      <w:r w:rsidRPr="00E8542A">
        <w:rPr>
          <w:u w:val="single"/>
        </w:rPr>
        <w:br/>
      </w:r>
      <w:r w:rsidR="00BE147B">
        <w:t xml:space="preserve">Le </w:t>
      </w:r>
      <w:r w:rsidR="00837EFF" w:rsidRPr="00E8542A">
        <w:t xml:space="preserve">materie prime </w:t>
      </w:r>
      <w:r w:rsidR="00BE147B">
        <w:t>continueranno a essere</w:t>
      </w:r>
      <w:r w:rsidR="00837EFF" w:rsidRPr="00E8542A">
        <w:t xml:space="preserve"> una parte molto importante della storia de</w:t>
      </w:r>
      <w:r w:rsidR="005F4E91">
        <w:t>i mercati emergenti</w:t>
      </w:r>
      <w:r w:rsidR="00837EFF" w:rsidRPr="00E8542A">
        <w:t xml:space="preserve">. È chiaro che </w:t>
      </w:r>
      <w:r w:rsidR="00837EFF" w:rsidRPr="00E8542A">
        <w:rPr>
          <w:b/>
          <w:bCs/>
        </w:rPr>
        <w:t xml:space="preserve">la competizione tra Cina e </w:t>
      </w:r>
      <w:r w:rsidR="00056D82" w:rsidRPr="00E8542A">
        <w:rPr>
          <w:b/>
          <w:bCs/>
        </w:rPr>
        <w:t>USA</w:t>
      </w:r>
      <w:r w:rsidR="00837EFF" w:rsidRPr="00E8542A">
        <w:rPr>
          <w:b/>
          <w:bCs/>
        </w:rPr>
        <w:t xml:space="preserve"> </w:t>
      </w:r>
      <w:r w:rsidR="00056D82" w:rsidRPr="00E8542A">
        <w:rPr>
          <w:b/>
          <w:bCs/>
        </w:rPr>
        <w:t xml:space="preserve">anche </w:t>
      </w:r>
      <w:r w:rsidR="00837EFF" w:rsidRPr="00E8542A">
        <w:rPr>
          <w:b/>
          <w:bCs/>
        </w:rPr>
        <w:t>in termini di riduzione delle emissioni di anidride carbonica e di ulteriori investimenti legati all'</w:t>
      </w:r>
      <w:r w:rsidRPr="00E8542A">
        <w:rPr>
          <w:b/>
          <w:bCs/>
        </w:rPr>
        <w:t xml:space="preserve">IA </w:t>
      </w:r>
      <w:r w:rsidR="00837EFF" w:rsidRPr="00E8542A">
        <w:rPr>
          <w:b/>
          <w:bCs/>
        </w:rPr>
        <w:t>richiederà un numero significativo di materie prime che non sono</w:t>
      </w:r>
      <w:r w:rsidRPr="00E8542A">
        <w:rPr>
          <w:b/>
          <w:bCs/>
        </w:rPr>
        <w:t xml:space="preserve"> </w:t>
      </w:r>
      <w:r w:rsidR="00837EFF" w:rsidRPr="00E8542A">
        <w:rPr>
          <w:b/>
          <w:bCs/>
        </w:rPr>
        <w:t>disponibili negli Stati Uniti</w:t>
      </w:r>
      <w:r w:rsidR="00056D82">
        <w:t>, che</w:t>
      </w:r>
      <w:r w:rsidR="00837EFF" w:rsidRPr="00E8542A">
        <w:t xml:space="preserve"> dispongono di ampie forniture di petrolio, gas e carbone</w:t>
      </w:r>
      <w:r w:rsidR="00056D82">
        <w:t>, ma non di</w:t>
      </w:r>
      <w:r w:rsidR="00837EFF" w:rsidRPr="00E8542A">
        <w:t xml:space="preserve"> terre rare, grafite, </w:t>
      </w:r>
      <w:r w:rsidR="005F4E91">
        <w:t>l</w:t>
      </w:r>
      <w:r w:rsidR="00837EFF" w:rsidRPr="00E8542A">
        <w:t>itio</w:t>
      </w:r>
      <w:r w:rsidR="00056D82">
        <w:t xml:space="preserve"> e</w:t>
      </w:r>
      <w:r w:rsidR="00837EFF" w:rsidRPr="00E8542A">
        <w:t xml:space="preserve"> rame.</w:t>
      </w:r>
      <w:r w:rsidR="00BE147B">
        <w:t xml:space="preserve"> </w:t>
      </w:r>
      <w:r w:rsidR="00056D82">
        <w:t xml:space="preserve">In questo scenario, </w:t>
      </w:r>
      <w:r w:rsidR="00056D82" w:rsidRPr="00E8542A">
        <w:rPr>
          <w:b/>
          <w:bCs/>
        </w:rPr>
        <w:t>i</w:t>
      </w:r>
      <w:r w:rsidR="00837EFF" w:rsidRPr="00E8542A">
        <w:rPr>
          <w:b/>
          <w:bCs/>
        </w:rPr>
        <w:t xml:space="preserve"> </w:t>
      </w:r>
      <w:r w:rsidR="00056D82" w:rsidRPr="00E8542A">
        <w:rPr>
          <w:b/>
          <w:bCs/>
        </w:rPr>
        <w:t>p</w:t>
      </w:r>
      <w:r w:rsidR="00837EFF" w:rsidRPr="00E8542A">
        <w:rPr>
          <w:b/>
          <w:bCs/>
        </w:rPr>
        <w:t>aes</w:t>
      </w:r>
      <w:r w:rsidR="00056D82" w:rsidRPr="00E8542A">
        <w:rPr>
          <w:b/>
          <w:bCs/>
        </w:rPr>
        <w:t>i emergenti</w:t>
      </w:r>
      <w:r w:rsidR="00BE147B" w:rsidRPr="00E8542A">
        <w:rPr>
          <w:b/>
          <w:bCs/>
        </w:rPr>
        <w:t>,</w:t>
      </w:r>
      <w:r w:rsidR="00056D82" w:rsidRPr="00E8542A">
        <w:rPr>
          <w:b/>
          <w:bCs/>
        </w:rPr>
        <w:t xml:space="preserve"> in particolare i</w:t>
      </w:r>
      <w:r w:rsidR="00BE147B" w:rsidRPr="00E8542A">
        <w:rPr>
          <w:b/>
          <w:bCs/>
        </w:rPr>
        <w:t xml:space="preserve"> </w:t>
      </w:r>
      <w:r w:rsidR="00837EFF" w:rsidRPr="00E8542A">
        <w:rPr>
          <w:b/>
          <w:bCs/>
        </w:rPr>
        <w:t>produttori a</w:t>
      </w:r>
      <w:r w:rsidR="00056D82" w:rsidRPr="00E8542A">
        <w:rPr>
          <w:b/>
          <w:bCs/>
        </w:rPr>
        <w:t xml:space="preserve"> </w:t>
      </w:r>
      <w:r w:rsidR="00837EFF" w:rsidRPr="00E8542A">
        <w:rPr>
          <w:b/>
          <w:bCs/>
        </w:rPr>
        <w:t>basso costo di queste materie prime</w:t>
      </w:r>
      <w:r w:rsidR="00BE147B" w:rsidRPr="00E8542A">
        <w:rPr>
          <w:b/>
          <w:bCs/>
        </w:rPr>
        <w:t xml:space="preserve">, </w:t>
      </w:r>
      <w:r w:rsidR="00837EFF" w:rsidRPr="00E8542A">
        <w:rPr>
          <w:b/>
          <w:bCs/>
        </w:rPr>
        <w:t>si trov</w:t>
      </w:r>
      <w:r w:rsidR="00056D82" w:rsidRPr="00E8542A">
        <w:rPr>
          <w:b/>
          <w:bCs/>
        </w:rPr>
        <w:t>eran</w:t>
      </w:r>
      <w:r w:rsidR="00837EFF" w:rsidRPr="00E8542A">
        <w:rPr>
          <w:b/>
          <w:bCs/>
        </w:rPr>
        <w:t xml:space="preserve">no in una posizione </w:t>
      </w:r>
      <w:r w:rsidRPr="00E8542A">
        <w:rPr>
          <w:b/>
          <w:bCs/>
        </w:rPr>
        <w:t>di vantaggio</w:t>
      </w:r>
      <w:r w:rsidR="00837EFF" w:rsidRPr="00E8542A">
        <w:rPr>
          <w:b/>
          <w:bCs/>
        </w:rPr>
        <w:t xml:space="preserve"> per beneficiare d</w:t>
      </w:r>
      <w:r w:rsidR="00056D82" w:rsidRPr="00E8542A">
        <w:rPr>
          <w:b/>
          <w:bCs/>
        </w:rPr>
        <w:t>elle</w:t>
      </w:r>
      <w:r w:rsidR="005F4E91">
        <w:rPr>
          <w:b/>
          <w:bCs/>
        </w:rPr>
        <w:t xml:space="preserve"> nuove</w:t>
      </w:r>
      <w:r w:rsidR="00056D82" w:rsidRPr="00E8542A">
        <w:rPr>
          <w:b/>
          <w:bCs/>
        </w:rPr>
        <w:t xml:space="preserve"> </w:t>
      </w:r>
      <w:r w:rsidR="00837EFF" w:rsidRPr="00E8542A">
        <w:rPr>
          <w:b/>
          <w:bCs/>
        </w:rPr>
        <w:t xml:space="preserve">alleanze </w:t>
      </w:r>
      <w:r w:rsidR="00056D82" w:rsidRPr="00E8542A">
        <w:rPr>
          <w:b/>
          <w:bCs/>
        </w:rPr>
        <w:t>nel</w:t>
      </w:r>
      <w:r w:rsidR="00837EFF" w:rsidRPr="00E8542A">
        <w:rPr>
          <w:b/>
          <w:bCs/>
        </w:rPr>
        <w:t xml:space="preserve"> mondo multi</w:t>
      </w:r>
      <w:r w:rsidR="00BE147B" w:rsidRPr="00E8542A">
        <w:rPr>
          <w:b/>
          <w:bCs/>
        </w:rPr>
        <w:t>polare</w:t>
      </w:r>
      <w:r w:rsidR="00837EFF" w:rsidRPr="00E8542A">
        <w:t>.</w:t>
      </w:r>
    </w:p>
    <w:p w14:paraId="04AAD9E4" w14:textId="5B29C6CA" w:rsidR="003D2C81" w:rsidRPr="00E8542A" w:rsidRDefault="00BE147B" w:rsidP="003D2C81">
      <w:r w:rsidRPr="00E8542A">
        <w:t>La</w:t>
      </w:r>
      <w:r>
        <w:t xml:space="preserve"> </w:t>
      </w:r>
      <w:r w:rsidR="003D2C81" w:rsidRPr="00E8542A">
        <w:t>guerra tra Russia e Ucraina</w:t>
      </w:r>
      <w:r w:rsidR="00056D82">
        <w:t>, inoltre,</w:t>
      </w:r>
      <w:r w:rsidR="003D2C81" w:rsidRPr="00E8542A">
        <w:t xml:space="preserve"> ha </w:t>
      </w:r>
      <w:r>
        <w:t>com</w:t>
      </w:r>
      <w:r w:rsidR="003D2C81" w:rsidRPr="00E8542A">
        <w:t xml:space="preserve">portato un significativo spostamento dei flussi commerciali energetici globali. L'UE storicamente era il principale acquirente di petrolio e gas russo e dipendeva fortemente dalle forniture energetiche russe, </w:t>
      </w:r>
      <w:r>
        <w:t>per i</w:t>
      </w:r>
      <w:r w:rsidR="003D2C81" w:rsidRPr="00E8542A">
        <w:t>l 40</w:t>
      </w:r>
      <w:r>
        <w:t>-</w:t>
      </w:r>
      <w:r w:rsidR="003D2C81" w:rsidRPr="00E8542A">
        <w:t xml:space="preserve">45% del suo gas e </w:t>
      </w:r>
      <w:r>
        <w:t>per il</w:t>
      </w:r>
      <w:r w:rsidR="003D2C81" w:rsidRPr="00E8542A">
        <w:t xml:space="preserve"> 25</w:t>
      </w:r>
      <w:r>
        <w:t>-</w:t>
      </w:r>
      <w:r w:rsidR="003D2C81" w:rsidRPr="00E8542A">
        <w:t>30% del suo petrolio</w:t>
      </w:r>
      <w:r w:rsidR="00056D82">
        <w:t xml:space="preserve">. </w:t>
      </w:r>
      <w:r w:rsidR="003D2C81" w:rsidRPr="00E8542A">
        <w:t xml:space="preserve"> </w:t>
      </w:r>
      <w:r w:rsidR="005F4E91" w:rsidRPr="00E8542A">
        <w:rPr>
          <w:b/>
          <w:bCs/>
        </w:rPr>
        <w:t xml:space="preserve">L’Europa si è allontanata dalla Russia e </w:t>
      </w:r>
      <w:r w:rsidR="003D2C81" w:rsidRPr="00E8542A">
        <w:rPr>
          <w:b/>
          <w:bCs/>
        </w:rPr>
        <w:t xml:space="preserve">ha trovato </w:t>
      </w:r>
      <w:r w:rsidRPr="00E8542A">
        <w:rPr>
          <w:b/>
          <w:bCs/>
        </w:rPr>
        <w:t xml:space="preserve">altri </w:t>
      </w:r>
      <w:r w:rsidR="003D2C81" w:rsidRPr="00E8542A">
        <w:rPr>
          <w:b/>
          <w:bCs/>
        </w:rPr>
        <w:t>produttori di petrolio e gas</w:t>
      </w:r>
      <w:r w:rsidR="00056D82" w:rsidRPr="00E8542A">
        <w:rPr>
          <w:b/>
          <w:bCs/>
        </w:rPr>
        <w:t xml:space="preserve"> </w:t>
      </w:r>
      <w:r w:rsidR="003D2C81" w:rsidRPr="00E8542A">
        <w:rPr>
          <w:b/>
          <w:bCs/>
        </w:rPr>
        <w:t>per soddisfare la domanda.</w:t>
      </w:r>
      <w:r w:rsidR="00631C42" w:rsidRPr="00E8542A">
        <w:rPr>
          <w:b/>
          <w:bCs/>
        </w:rPr>
        <w:t xml:space="preserve"> </w:t>
      </w:r>
      <w:r w:rsidR="003D2C81" w:rsidRPr="00E8542A">
        <w:rPr>
          <w:b/>
          <w:bCs/>
        </w:rPr>
        <w:t>Paesi</w:t>
      </w:r>
      <w:r w:rsidR="00056D82" w:rsidRPr="00E8542A">
        <w:rPr>
          <w:b/>
          <w:bCs/>
        </w:rPr>
        <w:t xml:space="preserve"> </w:t>
      </w:r>
      <w:r w:rsidR="003D2C81" w:rsidRPr="00E8542A">
        <w:rPr>
          <w:b/>
          <w:bCs/>
        </w:rPr>
        <w:t>come il Qatar, il Kazakistan, l'Egitto, la Nigeria, l'Algeria, l'Angola, l'Azerbaigian stanno tutti beneficiando di questa diversificazione della catena di approvvigionamento europea</w:t>
      </w:r>
      <w:r w:rsidR="003D2C81" w:rsidRPr="00E8542A">
        <w:t>.</w:t>
      </w:r>
      <w:r w:rsidR="00631C42">
        <w:t xml:space="preserve"> </w:t>
      </w:r>
      <w:r>
        <w:t>Inoltre,</w:t>
      </w:r>
      <w:r w:rsidR="003D2C81" w:rsidRPr="00E8542A">
        <w:t xml:space="preserve"> stiamo vedendo </w:t>
      </w:r>
      <w:r w:rsidR="00056D82">
        <w:t xml:space="preserve">investimenti </w:t>
      </w:r>
      <w:r w:rsidR="003D2C81" w:rsidRPr="00E8542A">
        <w:t>in nuovi settori</w:t>
      </w:r>
      <w:r w:rsidR="00056D82">
        <w:t>,</w:t>
      </w:r>
      <w:r w:rsidR="003D2C81" w:rsidRPr="00E8542A">
        <w:t xml:space="preserve"> come quello dell'idrogeno verde,</w:t>
      </w:r>
      <w:r w:rsidR="00056D82">
        <w:t xml:space="preserve"> anche nei paesi emergenti,</w:t>
      </w:r>
      <w:r w:rsidR="003D2C81" w:rsidRPr="00E8542A">
        <w:t xml:space="preserve"> dove </w:t>
      </w:r>
      <w:r w:rsidR="00455A49">
        <w:t>stanno nascendo</w:t>
      </w:r>
      <w:r w:rsidR="003D2C81" w:rsidRPr="00E8542A">
        <w:t xml:space="preserve"> grandi progetti in Namibia, Marocco, Oman ed Egitto.</w:t>
      </w:r>
    </w:p>
    <w:p w14:paraId="21CC6168" w14:textId="0D7F5930" w:rsidR="003D2C81" w:rsidRPr="00E8542A" w:rsidRDefault="00056D82" w:rsidP="003D2C81">
      <w:r w:rsidRPr="00E8542A">
        <w:rPr>
          <w:u w:val="single"/>
        </w:rPr>
        <w:t>La regionalizzazione del commercio</w:t>
      </w:r>
      <w:r>
        <w:br/>
      </w:r>
      <w:r w:rsidR="00BE147B">
        <w:t>I</w:t>
      </w:r>
      <w:r w:rsidR="003D2C81" w:rsidRPr="00E8542A">
        <w:t>l commercio globale non sta diminuendo</w:t>
      </w:r>
      <w:r w:rsidR="00BE147B">
        <w:t>, ma si sta regionalizzando</w:t>
      </w:r>
      <w:r w:rsidR="003D2C81" w:rsidRPr="00E8542A">
        <w:t xml:space="preserve">. </w:t>
      </w:r>
      <w:r w:rsidR="00BE147B">
        <w:t>M</w:t>
      </w:r>
      <w:r w:rsidR="003D2C81" w:rsidRPr="00E8542A">
        <w:t xml:space="preserve">entre il commercio tra gli Stati Uniti e la Cina è in calo, quello tra la Cina e i mercati emergenti, in particolare </w:t>
      </w:r>
      <w:r w:rsidR="00455A49">
        <w:t>del</w:t>
      </w:r>
      <w:r w:rsidR="003D2C81" w:rsidRPr="00E8542A">
        <w:t>l'Asia, sta aumentando drasticamente</w:t>
      </w:r>
      <w:r>
        <w:t>, così come</w:t>
      </w:r>
      <w:r w:rsidR="00BE147B">
        <w:t xml:space="preserve"> gli scambi tra </w:t>
      </w:r>
      <w:r w:rsidR="003D2C81" w:rsidRPr="00E8542A">
        <w:t>Stati Uniti e Messico</w:t>
      </w:r>
      <w:r w:rsidR="00455A49">
        <w:t>,</w:t>
      </w:r>
      <w:r>
        <w:t xml:space="preserve"> e quelli </w:t>
      </w:r>
      <w:r w:rsidR="00BE147B">
        <w:t>tra</w:t>
      </w:r>
      <w:r w:rsidR="003D2C81" w:rsidRPr="00E8542A">
        <w:t xml:space="preserve"> l'Europa centro-orientale e </w:t>
      </w:r>
      <w:r w:rsidR="00455A49">
        <w:t>l’Europa</w:t>
      </w:r>
      <w:r w:rsidR="00BE147B">
        <w:t xml:space="preserve"> </w:t>
      </w:r>
      <w:r w:rsidR="003D2C81" w:rsidRPr="00E8542A">
        <w:t>continentale.</w:t>
      </w:r>
      <w:r w:rsidR="00BE147B">
        <w:t xml:space="preserve"> </w:t>
      </w:r>
      <w:r w:rsidR="003D2C81" w:rsidRPr="00E8542A">
        <w:rPr>
          <w:b/>
          <w:bCs/>
        </w:rPr>
        <w:t>Stiamo</w:t>
      </w:r>
      <w:r w:rsidR="005F4E91" w:rsidRPr="00E8542A">
        <w:rPr>
          <w:b/>
          <w:bCs/>
        </w:rPr>
        <w:t xml:space="preserve"> </w:t>
      </w:r>
      <w:r w:rsidR="003D2C81" w:rsidRPr="00E8542A">
        <w:rPr>
          <w:b/>
          <w:bCs/>
        </w:rPr>
        <w:t>assistendo a una maggiore regionalizzazione dei flussi commerciali, a vantaggio di</w:t>
      </w:r>
      <w:r w:rsidR="00BE147B" w:rsidRPr="00E8542A">
        <w:rPr>
          <w:b/>
          <w:bCs/>
        </w:rPr>
        <w:t xml:space="preserve"> quelle economie </w:t>
      </w:r>
      <w:r w:rsidR="003D2C81" w:rsidRPr="00E8542A">
        <w:rPr>
          <w:b/>
          <w:bCs/>
        </w:rPr>
        <w:t>di connessione che consentono ai Paesi sviluppat</w:t>
      </w:r>
      <w:r w:rsidR="00BE147B" w:rsidRPr="00E8542A">
        <w:rPr>
          <w:b/>
          <w:bCs/>
        </w:rPr>
        <w:t>i</w:t>
      </w:r>
      <w:r w:rsidR="003D2C81" w:rsidRPr="00E8542A">
        <w:rPr>
          <w:b/>
          <w:bCs/>
        </w:rPr>
        <w:t xml:space="preserve"> di accedere a</w:t>
      </w:r>
      <w:r w:rsidRPr="00E8542A">
        <w:rPr>
          <w:b/>
          <w:bCs/>
        </w:rPr>
        <w:t>lle</w:t>
      </w:r>
      <w:r w:rsidR="003D2C81" w:rsidRPr="00E8542A">
        <w:rPr>
          <w:b/>
          <w:bCs/>
        </w:rPr>
        <w:t xml:space="preserve"> materie prime e a beni più economic</w:t>
      </w:r>
      <w:r w:rsidR="003D2C81" w:rsidRPr="00CC3C71">
        <w:rPr>
          <w:b/>
          <w:bCs/>
        </w:rPr>
        <w:t>i</w:t>
      </w:r>
      <w:r w:rsidR="003D2C81" w:rsidRPr="00E8542A">
        <w:t xml:space="preserve">. </w:t>
      </w:r>
      <w:r w:rsidR="00187E27">
        <w:t xml:space="preserve">Sullo scenario globale si iniziano a vedere anche nuove alleanze, in formazione e consolidamento. </w:t>
      </w:r>
      <w:r w:rsidR="003D2C81" w:rsidRPr="00E8542A">
        <w:t xml:space="preserve">Un esempio è </w:t>
      </w:r>
      <w:r w:rsidR="00BE147B">
        <w:t>il Kenya,</w:t>
      </w:r>
      <w:r w:rsidR="003D2C81" w:rsidRPr="00E8542A">
        <w:t xml:space="preserve"> uno dei principali alleati non appartenenti alla NATO, </w:t>
      </w:r>
      <w:r w:rsidR="00BE147B">
        <w:t xml:space="preserve">che </w:t>
      </w:r>
      <w:r w:rsidR="000E7839">
        <w:t xml:space="preserve">sta avviando </w:t>
      </w:r>
      <w:r w:rsidR="003D2C81" w:rsidRPr="00E8542A">
        <w:t>una maggiore cooperazione in materia di sicurezza e tecnologia</w:t>
      </w:r>
      <w:r>
        <w:t xml:space="preserve"> con gli USA</w:t>
      </w:r>
      <w:r w:rsidR="00187E27">
        <w:t xml:space="preserve">. </w:t>
      </w:r>
      <w:r w:rsidR="00D72BE8">
        <w:t>In quest’ottica andrebbero letti a</w:t>
      </w:r>
      <w:r w:rsidR="00187E27">
        <w:t xml:space="preserve">nche </w:t>
      </w:r>
      <w:r w:rsidR="00D72BE8">
        <w:t xml:space="preserve">i </w:t>
      </w:r>
      <w:r w:rsidR="003D2C81" w:rsidRPr="00E8542A">
        <w:t>diversi accordi relativi agli investimenti verdi</w:t>
      </w:r>
      <w:r w:rsidR="00187E27">
        <w:t xml:space="preserve"> e</w:t>
      </w:r>
      <w:r w:rsidR="003D2C81" w:rsidRPr="00E8542A">
        <w:t xml:space="preserve"> allo sviluppo delle infrastrutture</w:t>
      </w:r>
      <w:r w:rsidR="00D72BE8">
        <w:t xml:space="preserve"> attualmente in discussione nell’area emergente,</w:t>
      </w:r>
      <w:r w:rsidR="00655578">
        <w:t xml:space="preserve"> oltre</w:t>
      </w:r>
      <w:r w:rsidR="003D2C81" w:rsidRPr="00E8542A">
        <w:t xml:space="preserve"> alla riduzione del debito per i </w:t>
      </w:r>
      <w:r w:rsidR="005F4E91">
        <w:t>p</w:t>
      </w:r>
      <w:r w:rsidR="003D2C81" w:rsidRPr="00E8542A">
        <w:t>aesi più poveri.</w:t>
      </w:r>
    </w:p>
    <w:p w14:paraId="0F99AE85" w14:textId="4B6C1876" w:rsidR="00B45617" w:rsidRPr="00E8542A" w:rsidRDefault="00187E27" w:rsidP="002D474F">
      <w:pPr>
        <w:rPr>
          <w:u w:val="single"/>
        </w:rPr>
      </w:pPr>
      <w:r w:rsidRPr="00E8542A">
        <w:rPr>
          <w:u w:val="single"/>
        </w:rPr>
        <w:t>Gli effetti positivi della demografia</w:t>
      </w:r>
      <w:r>
        <w:rPr>
          <w:u w:val="single"/>
        </w:rPr>
        <w:br/>
      </w:r>
      <w:r w:rsidR="00B45617" w:rsidRPr="00E8542A">
        <w:t xml:space="preserve">La crescita demografica nei </w:t>
      </w:r>
      <w:r w:rsidR="00C24D3D">
        <w:t>p</w:t>
      </w:r>
      <w:r w:rsidR="00B45617" w:rsidRPr="00E8542A">
        <w:t xml:space="preserve">aesi emergenti e </w:t>
      </w:r>
      <w:r>
        <w:t>il continuo aumento</w:t>
      </w:r>
      <w:r w:rsidR="00B45617" w:rsidRPr="00E8542A">
        <w:t xml:space="preserve"> della forza lavoro </w:t>
      </w:r>
      <w:r>
        <w:t xml:space="preserve">contrasta </w:t>
      </w:r>
      <w:r w:rsidR="00B45617" w:rsidRPr="00E8542A">
        <w:t xml:space="preserve">con il declino che si registra nei </w:t>
      </w:r>
      <w:r w:rsidR="00C24D3D">
        <w:t>p</w:t>
      </w:r>
      <w:r w:rsidR="00B45617" w:rsidRPr="00E8542A">
        <w:t>aesi sviluppati</w:t>
      </w:r>
      <w:r w:rsidR="00AD265D">
        <w:t>, e avrà un impatto sui consumi</w:t>
      </w:r>
      <w:r w:rsidR="00B45617" w:rsidRPr="00E8542A">
        <w:t xml:space="preserve">. </w:t>
      </w:r>
      <w:r w:rsidR="00B45617" w:rsidRPr="00E8542A">
        <w:rPr>
          <w:b/>
          <w:bCs/>
        </w:rPr>
        <w:t>La quota maggiore di domanda di prodotti di fascia alta</w:t>
      </w:r>
      <w:r w:rsidR="00AD265D">
        <w:rPr>
          <w:b/>
          <w:bCs/>
        </w:rPr>
        <w:t>, infatti,</w:t>
      </w:r>
      <w:r w:rsidR="00B45617" w:rsidRPr="00E8542A">
        <w:rPr>
          <w:b/>
          <w:bCs/>
        </w:rPr>
        <w:t xml:space="preserve"> verrà probabilmente dal mondo dei mercati emergenti</w:t>
      </w:r>
      <w:r w:rsidRPr="00E8542A">
        <w:rPr>
          <w:b/>
          <w:bCs/>
        </w:rPr>
        <w:t>, che</w:t>
      </w:r>
      <w:r w:rsidR="00B45617" w:rsidRPr="00E8542A">
        <w:rPr>
          <w:b/>
          <w:bCs/>
        </w:rPr>
        <w:t xml:space="preserve"> </w:t>
      </w:r>
      <w:r w:rsidR="000E7839" w:rsidRPr="00E8542A">
        <w:rPr>
          <w:b/>
          <w:bCs/>
        </w:rPr>
        <w:t>sono</w:t>
      </w:r>
      <w:r w:rsidR="00B45617" w:rsidRPr="00E8542A">
        <w:rPr>
          <w:b/>
          <w:bCs/>
        </w:rPr>
        <w:t xml:space="preserve"> l'unic</w:t>
      </w:r>
      <w:r w:rsidRPr="00E8542A">
        <w:rPr>
          <w:b/>
          <w:bCs/>
        </w:rPr>
        <w:t>a area</w:t>
      </w:r>
      <w:r w:rsidR="00B45617" w:rsidRPr="00E8542A">
        <w:rPr>
          <w:b/>
          <w:bCs/>
        </w:rPr>
        <w:t xml:space="preserve"> </w:t>
      </w:r>
      <w:r w:rsidRPr="00E8542A">
        <w:rPr>
          <w:b/>
          <w:bCs/>
        </w:rPr>
        <w:t>che registra una crescita significativa dell</w:t>
      </w:r>
      <w:r w:rsidR="00B45617" w:rsidRPr="00E8542A">
        <w:rPr>
          <w:b/>
          <w:bCs/>
        </w:rPr>
        <w:t>a classe media</w:t>
      </w:r>
      <w:r w:rsidR="00AD265D">
        <w:t>. Una tendenza che riguarda,</w:t>
      </w:r>
      <w:r>
        <w:t xml:space="preserve"> in particolare, oltre a Cina e India, </w:t>
      </w:r>
      <w:r w:rsidR="00EC4B6D">
        <w:t xml:space="preserve">anche </w:t>
      </w:r>
      <w:r w:rsidR="000E7839">
        <w:t>paesi</w:t>
      </w:r>
      <w:r w:rsidR="00B45617" w:rsidRPr="00E8542A">
        <w:t xml:space="preserve"> come </w:t>
      </w:r>
      <w:r w:rsidR="00AD265D">
        <w:t>l’</w:t>
      </w:r>
      <w:r w:rsidR="00B45617" w:rsidRPr="00E8542A">
        <w:t xml:space="preserve">Indonesia, </w:t>
      </w:r>
      <w:r w:rsidR="00AD265D">
        <w:t xml:space="preserve">la </w:t>
      </w:r>
      <w:r>
        <w:t>M</w:t>
      </w:r>
      <w:r w:rsidR="00B45617" w:rsidRPr="00E8542A">
        <w:t>alesia,</w:t>
      </w:r>
      <w:r w:rsidR="00AD265D">
        <w:t xml:space="preserve"> le</w:t>
      </w:r>
      <w:r w:rsidR="00B45617" w:rsidRPr="00E8542A">
        <w:t xml:space="preserve"> Filippine, </w:t>
      </w:r>
      <w:r w:rsidR="00AD265D">
        <w:t>l’</w:t>
      </w:r>
      <w:r w:rsidR="00B45617" w:rsidRPr="00E8542A">
        <w:t xml:space="preserve">Egitto, </w:t>
      </w:r>
      <w:r w:rsidR="00AD265D">
        <w:t xml:space="preserve">la </w:t>
      </w:r>
      <w:r w:rsidR="00B45617" w:rsidRPr="00E8542A">
        <w:t>Nigeria</w:t>
      </w:r>
      <w:r>
        <w:t xml:space="preserve"> e</w:t>
      </w:r>
      <w:r w:rsidR="00C24D3D">
        <w:t xml:space="preserve"> paesi dell’</w:t>
      </w:r>
      <w:r w:rsidR="00B45617" w:rsidRPr="00E8542A">
        <w:t>America centrale e meridionale.</w:t>
      </w:r>
      <w:r w:rsidR="000E7839">
        <w:t xml:space="preserve"> </w:t>
      </w:r>
      <w:r w:rsidR="00B45617" w:rsidRPr="00E8542A">
        <w:t>Dal 2024 al 2030,</w:t>
      </w:r>
      <w:r w:rsidR="00AD265D">
        <w:t xml:space="preserve"> in particolare,</w:t>
      </w:r>
      <w:r w:rsidR="00B45617" w:rsidRPr="00E8542A">
        <w:t xml:space="preserve"> il 95% della crescita della classe media proverrà dai </w:t>
      </w:r>
      <w:r>
        <w:t>p</w:t>
      </w:r>
      <w:r w:rsidR="00B45617" w:rsidRPr="00E8542A">
        <w:t>aesi emergenti</w:t>
      </w:r>
      <w:r w:rsidR="005F4E91">
        <w:t>. E</w:t>
      </w:r>
      <w:r w:rsidR="00B45617" w:rsidRPr="00E8542A">
        <w:t xml:space="preserve">ntro il 2030, il 70% degli 80 milioni di nuovi abitanti della classe media cinese proverrà da città di terzo livello o inferiori. </w:t>
      </w:r>
      <w:r>
        <w:t>L</w:t>
      </w:r>
      <w:r w:rsidR="00B45617" w:rsidRPr="00E8542A">
        <w:t xml:space="preserve">e città di </w:t>
      </w:r>
      <w:r w:rsidR="00E9436B">
        <w:t xml:space="preserve">terzo </w:t>
      </w:r>
      <w:r w:rsidR="00B45617" w:rsidRPr="00E8542A">
        <w:t>livello</w:t>
      </w:r>
      <w:r>
        <w:t xml:space="preserve">, </w:t>
      </w:r>
      <w:r w:rsidRPr="00187E27">
        <w:t>meno sviluppate, ma con potenziale di crescita futura</w:t>
      </w:r>
      <w:r>
        <w:t>,</w:t>
      </w:r>
      <w:r w:rsidR="00B45617" w:rsidRPr="00E8542A">
        <w:t xml:space="preserve"> stanno guidando la crescita della classe media</w:t>
      </w:r>
      <w:r w:rsidR="005F4E91">
        <w:t xml:space="preserve"> anche</w:t>
      </w:r>
      <w:r w:rsidR="00B45617" w:rsidRPr="00E8542A">
        <w:t xml:space="preserve"> in India e nei mercati del </w:t>
      </w:r>
      <w:r>
        <w:t>s</w:t>
      </w:r>
      <w:r w:rsidR="00B45617" w:rsidRPr="00E8542A">
        <w:t>ud-</w:t>
      </w:r>
      <w:r>
        <w:t>e</w:t>
      </w:r>
      <w:r w:rsidR="00B45617" w:rsidRPr="00E8542A">
        <w:t>st asiatico.</w:t>
      </w:r>
    </w:p>
    <w:p w14:paraId="4DE864F3" w14:textId="3A4E1682" w:rsidR="00631C42" w:rsidRPr="00E8542A" w:rsidRDefault="00187E27" w:rsidP="002D474F">
      <w:r w:rsidRPr="00E8542A">
        <w:rPr>
          <w:u w:val="single"/>
        </w:rPr>
        <w:t xml:space="preserve">La de-dollarizzazione </w:t>
      </w:r>
      <w:r w:rsidR="00E8542A">
        <w:rPr>
          <w:u w:val="single"/>
        </w:rPr>
        <w:t>d</w:t>
      </w:r>
      <w:r w:rsidRPr="00E8542A">
        <w:rPr>
          <w:u w:val="single"/>
        </w:rPr>
        <w:t>e</w:t>
      </w:r>
      <w:r w:rsidR="00E8542A">
        <w:rPr>
          <w:u w:val="single"/>
        </w:rPr>
        <w:t>gli scambi</w:t>
      </w:r>
      <w:r w:rsidR="00631C42" w:rsidRPr="00187E27">
        <w:br/>
      </w:r>
      <w:r w:rsidR="008A05C6">
        <w:t xml:space="preserve">È in atto </w:t>
      </w:r>
      <w:r w:rsidR="00631C42" w:rsidRPr="00E8542A">
        <w:t>un cambiamento strutturale nei mercati delle materie prime</w:t>
      </w:r>
      <w:r w:rsidR="000E7839">
        <w:t>. S</w:t>
      </w:r>
      <w:r w:rsidR="00631C42" w:rsidRPr="00E8542A">
        <w:t>tiamo già assistendo a un significativo accumulo di</w:t>
      </w:r>
      <w:r w:rsidR="000E7839">
        <w:t xml:space="preserve"> commodity</w:t>
      </w:r>
      <w:r w:rsidR="00631C42" w:rsidRPr="00E8542A">
        <w:t xml:space="preserve"> da parte della Cina e </w:t>
      </w:r>
      <w:r w:rsidR="00135ACA">
        <w:t xml:space="preserve">a </w:t>
      </w:r>
      <w:r w:rsidR="00CF5945">
        <w:t xml:space="preserve">maggiori </w:t>
      </w:r>
      <w:r w:rsidR="00631C42" w:rsidRPr="00E8542A">
        <w:t xml:space="preserve">scambi </w:t>
      </w:r>
      <w:r w:rsidR="00CF5945">
        <w:t>regolamentati al di fuori de</w:t>
      </w:r>
      <w:r w:rsidR="00135ACA">
        <w:t>l mercato del</w:t>
      </w:r>
      <w:r w:rsidR="00631C42" w:rsidRPr="00E8542A">
        <w:t xml:space="preserve"> dollaro</w:t>
      </w:r>
      <w:r w:rsidR="00631C42" w:rsidRPr="00E8542A">
        <w:rPr>
          <w:b/>
          <w:bCs/>
        </w:rPr>
        <w:t xml:space="preserve">. </w:t>
      </w:r>
      <w:r w:rsidR="005F4E91" w:rsidRPr="00E8542A">
        <w:rPr>
          <w:b/>
          <w:bCs/>
        </w:rPr>
        <w:t>La</w:t>
      </w:r>
      <w:r w:rsidR="00631C42" w:rsidRPr="00E8542A">
        <w:rPr>
          <w:b/>
          <w:bCs/>
        </w:rPr>
        <w:t xml:space="preserve"> tendenza alla de-dollarizzazione del commercio delle materie prime </w:t>
      </w:r>
      <w:r w:rsidR="00CF5945" w:rsidRPr="00E8542A">
        <w:rPr>
          <w:b/>
          <w:bCs/>
        </w:rPr>
        <w:t xml:space="preserve">potrebbe </w:t>
      </w:r>
      <w:r w:rsidR="008A05C6" w:rsidRPr="00E8542A">
        <w:rPr>
          <w:b/>
          <w:bCs/>
        </w:rPr>
        <w:t>avvantaggia</w:t>
      </w:r>
      <w:r w:rsidR="00CF5945" w:rsidRPr="00E8542A">
        <w:rPr>
          <w:b/>
          <w:bCs/>
        </w:rPr>
        <w:t>re</w:t>
      </w:r>
      <w:r w:rsidR="00631C42" w:rsidRPr="00E8542A">
        <w:rPr>
          <w:b/>
          <w:bCs/>
        </w:rPr>
        <w:t xml:space="preserve"> i </w:t>
      </w:r>
      <w:r w:rsidRPr="00E8542A">
        <w:rPr>
          <w:b/>
          <w:bCs/>
        </w:rPr>
        <w:t>p</w:t>
      </w:r>
      <w:r w:rsidR="00631C42" w:rsidRPr="00E8542A">
        <w:rPr>
          <w:b/>
          <w:bCs/>
        </w:rPr>
        <w:t>aesi emergenti, che ora possono non solo acquistare il petrolio a sconto, ma anche pagarlo nella propria valuta. Quest</w:t>
      </w:r>
      <w:r w:rsidRPr="00E8542A">
        <w:rPr>
          <w:b/>
          <w:bCs/>
        </w:rPr>
        <w:t>a tendenza</w:t>
      </w:r>
      <w:r w:rsidR="00631C42" w:rsidRPr="00E8542A">
        <w:rPr>
          <w:b/>
          <w:bCs/>
        </w:rPr>
        <w:t xml:space="preserve"> riduce anche la necessità di riserve precauzionali in dollari e </w:t>
      </w:r>
      <w:r w:rsidRPr="00E8542A">
        <w:rPr>
          <w:b/>
          <w:bCs/>
        </w:rPr>
        <w:t>Treasuries</w:t>
      </w:r>
      <w:r w:rsidR="00631C42" w:rsidRPr="00E8542A">
        <w:rPr>
          <w:b/>
          <w:bCs/>
        </w:rPr>
        <w:t xml:space="preserve">. </w:t>
      </w:r>
      <w:r w:rsidR="00631C42" w:rsidRPr="00E8542A">
        <w:t xml:space="preserve">Inoltre, a seguito del crescente ricorso alle sanzioni finanziarie e alla politica industriale degli Stati Uniti, </w:t>
      </w:r>
      <w:r w:rsidR="00F126AC" w:rsidRPr="00135ACA">
        <w:t>è decisamente aumentata</w:t>
      </w:r>
      <w:r w:rsidR="00F126AC" w:rsidRPr="00135ACA">
        <w:t xml:space="preserve"> </w:t>
      </w:r>
      <w:r w:rsidR="00135ACA" w:rsidRPr="00135ACA">
        <w:t>la domanda di oro e di altre materie prime come alternativa alla detenzione di attività finanziarie denominate in dollari nei paesi che dispongono di riserve valutarie</w:t>
      </w:r>
      <w:r w:rsidR="00631C42" w:rsidRPr="00E8542A">
        <w:t>. L'impennata dei prezzi dell'oro si sta verificando nonostante il rafforzamento del dollaro USA e l'aumento dei rendimenti del Tesoro USA, e riflette l</w:t>
      </w:r>
      <w:r w:rsidR="00CF5945">
        <w:t xml:space="preserve">’aumento di riserve </w:t>
      </w:r>
      <w:r w:rsidR="00F126AC">
        <w:t>in</w:t>
      </w:r>
      <w:r w:rsidR="00CF5945">
        <w:t xml:space="preserve"> oro</w:t>
      </w:r>
      <w:r w:rsidR="00631C42" w:rsidRPr="00E8542A">
        <w:t xml:space="preserve"> da parte delle banche centrali</w:t>
      </w:r>
      <w:r w:rsidR="00135ACA">
        <w:t xml:space="preserve"> dei </w:t>
      </w:r>
      <w:r w:rsidR="00F126AC">
        <w:t>paesi</w:t>
      </w:r>
      <w:r w:rsidR="00135ACA">
        <w:t xml:space="preserve"> emergenti</w:t>
      </w:r>
      <w:r w:rsidR="00631C42" w:rsidRPr="00E8542A">
        <w:t xml:space="preserve">. </w:t>
      </w:r>
      <w:r w:rsidR="00631C42" w:rsidRPr="00E8542A">
        <w:rPr>
          <w:b/>
          <w:bCs/>
        </w:rPr>
        <w:t>Il calo secolare delle riserve valutarie complessive</w:t>
      </w:r>
      <w:r w:rsidR="00CF5945" w:rsidRPr="00E8542A">
        <w:rPr>
          <w:b/>
          <w:bCs/>
        </w:rPr>
        <w:t xml:space="preserve"> in dollari</w:t>
      </w:r>
      <w:r w:rsidR="00631C42" w:rsidRPr="00E8542A">
        <w:rPr>
          <w:b/>
          <w:bCs/>
        </w:rPr>
        <w:t xml:space="preserve"> e della quota degli Stati </w:t>
      </w:r>
      <w:r w:rsidR="00631C42" w:rsidRPr="00E8542A">
        <w:rPr>
          <w:b/>
          <w:bCs/>
        </w:rPr>
        <w:lastRenderedPageBreak/>
        <w:t>Uniti nel commercio globale probabilmente continuerà</w:t>
      </w:r>
      <w:r w:rsidR="00CF5945" w:rsidRPr="00E8542A">
        <w:rPr>
          <w:b/>
          <w:bCs/>
        </w:rPr>
        <w:t>,</w:t>
      </w:r>
      <w:r w:rsidRPr="00E8542A">
        <w:rPr>
          <w:b/>
          <w:bCs/>
        </w:rPr>
        <w:t xml:space="preserve"> a</w:t>
      </w:r>
      <w:r w:rsidR="00631C42" w:rsidRPr="00E8542A">
        <w:rPr>
          <w:b/>
          <w:bCs/>
        </w:rPr>
        <w:t xml:space="preserve"> </w:t>
      </w:r>
      <w:r w:rsidRPr="00E8542A">
        <w:rPr>
          <w:b/>
          <w:bCs/>
        </w:rPr>
        <w:t xml:space="preserve">beneficio dei </w:t>
      </w:r>
      <w:r w:rsidR="00631C42" w:rsidRPr="00E8542A">
        <w:rPr>
          <w:b/>
          <w:bCs/>
        </w:rPr>
        <w:t>merca</w:t>
      </w:r>
      <w:r w:rsidR="00CF5945" w:rsidRPr="00E8542A">
        <w:rPr>
          <w:b/>
          <w:bCs/>
        </w:rPr>
        <w:t>ti</w:t>
      </w:r>
      <w:r w:rsidR="00631C42" w:rsidRPr="00E8542A">
        <w:rPr>
          <w:b/>
          <w:bCs/>
        </w:rPr>
        <w:t xml:space="preserve"> delle materie prime</w:t>
      </w:r>
      <w:r w:rsidR="00631C42" w:rsidRPr="00E8542A">
        <w:t xml:space="preserve">, </w:t>
      </w:r>
      <w:r w:rsidR="0008095E">
        <w:t xml:space="preserve">una tendenza </w:t>
      </w:r>
      <w:r w:rsidR="00CF5945">
        <w:t>da cui</w:t>
      </w:r>
      <w:r w:rsidR="00631C42" w:rsidRPr="00E8542A">
        <w:t xml:space="preserve"> potrebbero </w:t>
      </w:r>
      <w:r w:rsidR="00CF5945">
        <w:t xml:space="preserve">trarre vantaggio </w:t>
      </w:r>
      <w:r w:rsidR="00631C42" w:rsidRPr="00E8542A">
        <w:t>le valute dei paesi emergenti.</w:t>
      </w:r>
    </w:p>
    <w:p w14:paraId="16FAD723" w14:textId="599B093E" w:rsidR="00C212E8" w:rsidRPr="00E8542A" w:rsidRDefault="00C212E8" w:rsidP="00C212E8"/>
    <w:sectPr w:rsidR="00C212E8" w:rsidRPr="00E854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4F"/>
    <w:rsid w:val="00056D82"/>
    <w:rsid w:val="0008095E"/>
    <w:rsid w:val="000E7839"/>
    <w:rsid w:val="00135ACA"/>
    <w:rsid w:val="00187E27"/>
    <w:rsid w:val="002D0438"/>
    <w:rsid w:val="002D474F"/>
    <w:rsid w:val="0034780D"/>
    <w:rsid w:val="003856C2"/>
    <w:rsid w:val="003D2C81"/>
    <w:rsid w:val="00455A49"/>
    <w:rsid w:val="00580ADA"/>
    <w:rsid w:val="005F4E91"/>
    <w:rsid w:val="006019F6"/>
    <w:rsid w:val="006046D6"/>
    <w:rsid w:val="00631C42"/>
    <w:rsid w:val="00655578"/>
    <w:rsid w:val="00837EFF"/>
    <w:rsid w:val="00845490"/>
    <w:rsid w:val="008A05C6"/>
    <w:rsid w:val="009442DF"/>
    <w:rsid w:val="009E4AD1"/>
    <w:rsid w:val="009F197B"/>
    <w:rsid w:val="009F2E23"/>
    <w:rsid w:val="00A16B1B"/>
    <w:rsid w:val="00A96F29"/>
    <w:rsid w:val="00AD265D"/>
    <w:rsid w:val="00B45617"/>
    <w:rsid w:val="00BA36C0"/>
    <w:rsid w:val="00BE147B"/>
    <w:rsid w:val="00BE2945"/>
    <w:rsid w:val="00C212E8"/>
    <w:rsid w:val="00C24D3D"/>
    <w:rsid w:val="00CC3C71"/>
    <w:rsid w:val="00CF5945"/>
    <w:rsid w:val="00D72BE8"/>
    <w:rsid w:val="00E8542A"/>
    <w:rsid w:val="00E9436B"/>
    <w:rsid w:val="00EC2BE0"/>
    <w:rsid w:val="00EC4B6D"/>
    <w:rsid w:val="00F126AC"/>
    <w:rsid w:val="00F7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3641"/>
  <w15:chartTrackingRefBased/>
  <w15:docId w15:val="{2487BFE3-B2E1-4376-9B23-A76ED57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D4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D4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D47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47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47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D474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D474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D474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D474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4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D4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D474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474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474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D474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D474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D474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D474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D4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D4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D474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D474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D4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D47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D47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D47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D4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D47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D474F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F738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0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48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8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8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73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161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72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993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006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61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2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4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83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5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6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70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806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955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58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Morici</dc:creator>
  <cp:keywords/>
  <dc:description/>
  <cp:lastModifiedBy>Massimo Morici</cp:lastModifiedBy>
  <cp:revision>15</cp:revision>
  <dcterms:created xsi:type="dcterms:W3CDTF">2024-07-04T13:03:00Z</dcterms:created>
  <dcterms:modified xsi:type="dcterms:W3CDTF">2024-07-04T13:19:00Z</dcterms:modified>
</cp:coreProperties>
</file>