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3DD81" w14:textId="218134A0" w:rsidR="0094364B" w:rsidRPr="00616011" w:rsidRDefault="008E5818" w:rsidP="00616011">
      <w:pPr>
        <w:spacing w:after="0" w:line="240" w:lineRule="auto"/>
        <w:contextualSpacing/>
        <w:outlineLvl w:val="0"/>
        <w:rPr>
          <w:rFonts w:eastAsia="Times New Roman" w:cstheme="minorHAnsi"/>
          <w:color w:val="000000"/>
          <w:kern w:val="36"/>
          <w14:ligatures w14:val="none"/>
        </w:rPr>
      </w:pPr>
      <w:r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Schroders Capital </w:t>
      </w:r>
      <w:r w:rsidR="00603030">
        <w:rPr>
          <w:rFonts w:eastAsia="Times New Roman" w:cstheme="minorHAnsi"/>
          <w:b/>
          <w:bCs/>
          <w:color w:val="000000"/>
          <w:kern w:val="36"/>
          <w14:ligatures w14:val="none"/>
        </w:rPr>
        <w:t>–</w:t>
      </w:r>
      <w:r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</w:t>
      </w:r>
      <w:r w:rsidR="00603030">
        <w:rPr>
          <w:rFonts w:eastAsia="Times New Roman" w:cstheme="minorHAnsi"/>
          <w:b/>
          <w:bCs/>
          <w:color w:val="000000"/>
          <w:kern w:val="36"/>
          <w14:ligatures w14:val="none"/>
        </w:rPr>
        <w:t>Transizione energetica</w:t>
      </w:r>
      <w:r w:rsidR="002F3FD4">
        <w:rPr>
          <w:rFonts w:eastAsia="Times New Roman" w:cstheme="minorHAnsi"/>
          <w:b/>
          <w:bCs/>
          <w:color w:val="000000"/>
          <w:kern w:val="36"/>
          <w14:ligatures w14:val="none"/>
        </w:rPr>
        <w:t>, cosa accadrà dopo le elezioni europee</w:t>
      </w:r>
    </w:p>
    <w:p w14:paraId="74A47F5B" w14:textId="0372BFF8" w:rsidR="008E5818" w:rsidRPr="008E5818" w:rsidRDefault="00603030" w:rsidP="00616011">
      <w:pPr>
        <w:spacing w:after="0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lang w:val="en-US"/>
          <w14:ligatures w14:val="none"/>
        </w:rPr>
      </w:pPr>
      <w:r w:rsidRPr="00A61428">
        <w:rPr>
          <w:rFonts w:eastAsia="Times New Roman" w:cstheme="minorHAnsi"/>
          <w:color w:val="000000"/>
          <w:kern w:val="36"/>
          <w:sz w:val="10"/>
          <w:szCs w:val="10"/>
          <w:lang w:val="en-GB"/>
          <w14:ligatures w14:val="none"/>
        </w:rPr>
        <w:br/>
      </w:r>
      <w:r w:rsidRPr="00616011">
        <w:rPr>
          <w:rFonts w:eastAsia="Times New Roman" w:cstheme="minorHAnsi"/>
          <w:color w:val="000000"/>
          <w:kern w:val="36"/>
          <w:lang w:val="en-US"/>
          <w14:ligatures w14:val="none"/>
        </w:rPr>
        <w:t xml:space="preserve">A cura di </w:t>
      </w:r>
      <w:r w:rsidR="008E5818" w:rsidRPr="008E5818">
        <w:rPr>
          <w:rFonts w:eastAsia="Times New Roman" w:cstheme="minorHAnsi"/>
          <w:b/>
          <w:bCs/>
          <w:color w:val="000000"/>
          <w:kern w:val="36"/>
          <w:lang w:val="en-US"/>
          <w14:ligatures w14:val="none"/>
        </w:rPr>
        <w:t>Karin Kaiser</w:t>
      </w:r>
      <w:r w:rsidR="008E5818">
        <w:rPr>
          <w:rFonts w:eastAsia="Times New Roman" w:cstheme="minorHAnsi"/>
          <w:b/>
          <w:bCs/>
          <w:color w:val="000000"/>
          <w:kern w:val="36"/>
          <w:lang w:val="en-US"/>
          <w14:ligatures w14:val="none"/>
        </w:rPr>
        <w:t xml:space="preserve">, </w:t>
      </w:r>
      <w:r w:rsidR="008E5818" w:rsidRPr="008E5818">
        <w:rPr>
          <w:rFonts w:eastAsia="Times New Roman" w:cstheme="minorHAnsi"/>
          <w:b/>
          <w:bCs/>
          <w:color w:val="000000"/>
          <w:kern w:val="36"/>
          <w:lang w:val="en-US"/>
          <w14:ligatures w14:val="none"/>
        </w:rPr>
        <w:t>Head of Private Markets Europe</w:t>
      </w:r>
      <w:r w:rsidR="008E5818">
        <w:rPr>
          <w:rFonts w:eastAsia="Times New Roman" w:cstheme="minorHAnsi"/>
          <w:b/>
          <w:bCs/>
          <w:color w:val="000000"/>
          <w:kern w:val="36"/>
          <w:lang w:val="en-US"/>
          <w14:ligatures w14:val="none"/>
        </w:rPr>
        <w:t>, Schroders Capital</w:t>
      </w:r>
    </w:p>
    <w:p w14:paraId="31B793AF" w14:textId="77777777" w:rsidR="008E5818" w:rsidRPr="00616011" w:rsidRDefault="008E5818" w:rsidP="008E5818">
      <w:pPr>
        <w:spacing w:after="0" w:line="240" w:lineRule="auto"/>
        <w:contextualSpacing/>
        <w:rPr>
          <w:rFonts w:eastAsia="Times New Roman" w:cstheme="minorHAnsi"/>
          <w:color w:val="000000"/>
          <w:kern w:val="0"/>
          <w:lang w:val="en-US"/>
          <w14:ligatures w14:val="none"/>
        </w:rPr>
      </w:pPr>
    </w:p>
    <w:p w14:paraId="0981D88B" w14:textId="60E6B3DB" w:rsidR="0094364B" w:rsidRDefault="0094364B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Due settimane dopo le elezioni europee, </w:t>
      </w:r>
      <w:r w:rsidR="008D5F63">
        <w:rPr>
          <w:rFonts w:asciiTheme="minorHAnsi" w:hAnsiTheme="minorHAnsi" w:cstheme="minorHAnsi"/>
          <w:color w:val="000000"/>
          <w:sz w:val="22"/>
          <w:szCs w:val="22"/>
        </w:rPr>
        <w:t>emerge chiaramente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che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l'emergenza climatica non è stat</w:t>
      </w:r>
      <w:r w:rsidR="00C468E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l'argomento chiave su cui gli elettori </w:t>
      </w:r>
      <w:r w:rsidR="008E5818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 voto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si sono </w:t>
      </w:r>
      <w:r w:rsidR="008D5F63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focalizzati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. Ciò solleva la questione di quali siano le implicazioni per la transizione energetica europea. La risposta </w:t>
      </w:r>
      <w:r w:rsidR="005105F0">
        <w:rPr>
          <w:rFonts w:asciiTheme="minorHAnsi" w:hAnsiTheme="minorHAnsi" w:cstheme="minorHAnsi"/>
          <w:color w:val="000000"/>
          <w:sz w:val="22"/>
          <w:szCs w:val="22"/>
        </w:rPr>
        <w:t xml:space="preserve">più </w:t>
      </w:r>
      <w:r w:rsidR="001703E3">
        <w:rPr>
          <w:rFonts w:asciiTheme="minorHAnsi" w:hAnsiTheme="minorHAnsi" w:cstheme="minorHAnsi"/>
          <w:color w:val="000000"/>
          <w:sz w:val="22"/>
          <w:szCs w:val="22"/>
        </w:rPr>
        <w:t>sintetica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è che </w:t>
      </w:r>
      <w:r w:rsidR="008E5818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 processo di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transizione potrebbe rallentare nel breve termine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, ma </w:t>
      </w:r>
      <w:r w:rsidR="008E5818">
        <w:rPr>
          <w:rFonts w:asciiTheme="minorHAnsi" w:hAnsiTheme="minorHAnsi" w:cstheme="minorHAnsi"/>
          <w:color w:val="000000"/>
          <w:sz w:val="22"/>
          <w:szCs w:val="22"/>
        </w:rPr>
        <w:t xml:space="preserve">possiamo </w:t>
      </w:r>
      <w:r w:rsidR="001703E3">
        <w:rPr>
          <w:rFonts w:asciiTheme="minorHAnsi" w:hAnsiTheme="minorHAnsi" w:cstheme="minorHAnsi"/>
          <w:color w:val="000000"/>
          <w:sz w:val="22"/>
          <w:szCs w:val="22"/>
        </w:rPr>
        <w:t>esplorare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la risposta</w:t>
      </w:r>
      <w:r w:rsidR="005105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5818">
        <w:rPr>
          <w:rFonts w:asciiTheme="minorHAnsi" w:hAnsiTheme="minorHAnsi" w:cstheme="minorHAnsi"/>
          <w:color w:val="000000"/>
          <w:sz w:val="22"/>
          <w:szCs w:val="22"/>
        </w:rPr>
        <w:t>più in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dettaglio.</w:t>
      </w:r>
    </w:p>
    <w:p w14:paraId="7E084990" w14:textId="19D53E5F" w:rsidR="008E5818" w:rsidRPr="00616011" w:rsidRDefault="001A706A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32B1E">
        <w:rPr>
          <w:rFonts w:asciiTheme="minorHAnsi" w:hAnsiTheme="minorHAnsi" w:cstheme="minorHAnsi"/>
          <w:color w:val="000000"/>
          <w:sz w:val="22"/>
          <w:szCs w:val="22"/>
          <w:u w:val="single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biettivi climatici</w:t>
      </w:r>
      <w:r w:rsidR="00A32B1E">
        <w:rPr>
          <w:rFonts w:asciiTheme="minorHAnsi" w:hAnsiTheme="minorHAnsi" w:cstheme="minorHAnsi"/>
          <w:color w:val="000000"/>
          <w:sz w:val="22"/>
          <w:szCs w:val="22"/>
          <w:u w:val="single"/>
        </w:rPr>
        <w:t>: frenata in vista</w:t>
      </w:r>
    </w:p>
    <w:p w14:paraId="555D06DD" w14:textId="44AFEE43" w:rsidR="0094364B" w:rsidRDefault="0094364B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I partiti che hanno una visione progressista sulla decarbonizzazione e una posizione più ambiziosa rispetto alla legislazione attuale, come i Verdi, la Sinistra, i Socialisti e Democratici e Renew Europe, hanno </w:t>
      </w:r>
      <w:r w:rsidR="00A33881">
        <w:rPr>
          <w:rFonts w:asciiTheme="minorHAnsi" w:hAnsiTheme="minorHAnsi" w:cstheme="minorHAnsi"/>
          <w:color w:val="000000"/>
          <w:sz w:val="22"/>
          <w:szCs w:val="22"/>
        </w:rPr>
        <w:t xml:space="preserve">subito delle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perdite </w:t>
      </w:r>
      <w:r w:rsidR="008E5818">
        <w:rPr>
          <w:rFonts w:asciiTheme="minorHAnsi" w:hAnsiTheme="minorHAnsi" w:cstheme="minorHAnsi"/>
          <w:color w:val="000000"/>
          <w:sz w:val="22"/>
          <w:szCs w:val="22"/>
        </w:rPr>
        <w:t>a livello elettorale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. Il Partito Popolare Europeo, che ha sostenuto e definito l'attuale agenda politica </w:t>
      </w:r>
      <w:r w:rsidR="00A33881">
        <w:rPr>
          <w:rFonts w:asciiTheme="minorHAnsi" w:hAnsiTheme="minorHAnsi" w:cstheme="minorHAnsi"/>
          <w:color w:val="000000"/>
          <w:sz w:val="22"/>
          <w:szCs w:val="22"/>
        </w:rPr>
        <w:t>in ambito climatico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, continua a detenere la maggior parte dei seggi in parlamento. L'estrema destra, che non ha obiettivi climatici o ne ha </w:t>
      </w:r>
      <w:r w:rsidR="00BE79DE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ambigui, è emersa come la grande vincitrice delle elezioni europee del 2024. Tra </w:t>
      </w:r>
      <w:r w:rsidR="00BE79DE">
        <w:rPr>
          <w:rFonts w:asciiTheme="minorHAnsi" w:hAnsiTheme="minorHAnsi" w:cstheme="minorHAnsi"/>
          <w:color w:val="000000"/>
          <w:sz w:val="22"/>
          <w:szCs w:val="22"/>
        </w:rPr>
        <w:t xml:space="preserve">i partiti vincitori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>ci sono</w:t>
      </w:r>
      <w:r w:rsidR="004E32AB">
        <w:rPr>
          <w:rFonts w:asciiTheme="minorHAnsi" w:hAnsiTheme="minorHAnsi" w:cstheme="minorHAnsi"/>
          <w:color w:val="000000"/>
          <w:sz w:val="22"/>
          <w:szCs w:val="22"/>
        </w:rPr>
        <w:t xml:space="preserve"> anche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i Conservatori e Riformisti Europei, che sostengono attivamente la riduzione degli sforzi di decarbonizzazione, e Identità e Democrazia, meno trasparent</w:t>
      </w:r>
      <w:r w:rsidR="00BE79DE">
        <w:rPr>
          <w:rFonts w:asciiTheme="minorHAnsi" w:hAnsiTheme="minorHAnsi" w:cstheme="minorHAnsi"/>
          <w:color w:val="000000"/>
          <w:sz w:val="22"/>
          <w:szCs w:val="22"/>
        </w:rPr>
        <w:t>e,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ma </w:t>
      </w:r>
      <w:r w:rsidR="00BE79DE">
        <w:rPr>
          <w:rFonts w:asciiTheme="minorHAnsi" w:hAnsiTheme="minorHAnsi" w:cstheme="minorHAnsi"/>
          <w:color w:val="000000"/>
          <w:sz w:val="22"/>
          <w:szCs w:val="22"/>
        </w:rPr>
        <w:t xml:space="preserve">che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difficilmente </w:t>
      </w:r>
      <w:r w:rsidR="00BE79DE">
        <w:rPr>
          <w:rFonts w:asciiTheme="minorHAnsi" w:hAnsiTheme="minorHAnsi" w:cstheme="minorHAnsi"/>
          <w:color w:val="000000"/>
          <w:sz w:val="22"/>
          <w:szCs w:val="22"/>
        </w:rPr>
        <w:t xml:space="preserve">fornirà un supporto </w:t>
      </w:r>
      <w:r w:rsidR="00A33881">
        <w:rPr>
          <w:rFonts w:asciiTheme="minorHAnsi" w:hAnsiTheme="minorHAnsi" w:cstheme="minorHAnsi"/>
          <w:color w:val="000000"/>
          <w:sz w:val="22"/>
          <w:szCs w:val="22"/>
        </w:rPr>
        <w:t>in materia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di obiettivi climatici.</w:t>
      </w:r>
    </w:p>
    <w:p w14:paraId="40742B88" w14:textId="77777777" w:rsidR="008E5818" w:rsidRPr="0094364B" w:rsidRDefault="008E5818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CDD393A" w14:textId="3AF7A9AD" w:rsidR="0094364B" w:rsidRPr="00616011" w:rsidRDefault="00316340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Pur non avendo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ancora </w:t>
      </w:r>
      <w:r w:rsidR="008E5818">
        <w:rPr>
          <w:rFonts w:asciiTheme="minorHAnsi" w:hAnsiTheme="minorHAnsi" w:cstheme="minorHAnsi"/>
          <w:color w:val="000000"/>
          <w:sz w:val="22"/>
          <w:szCs w:val="22"/>
        </w:rPr>
        <w:t>avuto modo di vedere</w:t>
      </w:r>
      <w:r w:rsidR="008E5818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come si formeranno le coalizioni di maggioranza nelle prossime settimane, è importante sottolineare 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che i partiti favorevoli </w:t>
      </w:r>
      <w:r w:rsidR="00C10F1D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 politiche climatiche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detengono ancora la maggioranza dei voti in parlamento. L'UE ha stabilito una traiettoria chiara </w:t>
      </w:r>
      <w:r w:rsidR="008E5818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termini di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politica energetica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sotto forma di una legislazione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solida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, tra cui Green Deal, Fit for 55 e Repower EU. </w:t>
      </w:r>
      <w:r w:rsidR="00F245D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Una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deviazione da questa traiettoria richiederebbe una significativa maggioranza d</w:t>
      </w:r>
      <w:r w:rsidR="00F245D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voti in parlamento, che i partiti </w:t>
      </w:r>
      <w:r w:rsidR="00F245D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che non supportano le</w:t>
      </w:r>
      <w:r w:rsidR="008D31A3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politiche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clima</w:t>
      </w:r>
      <w:r w:rsidR="008D31A3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tiche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45D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sono </w:t>
      </w:r>
      <w:r w:rsidR="0094364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 lontani dal raggiungere.</w:t>
      </w:r>
    </w:p>
    <w:p w14:paraId="5F949CE3" w14:textId="77777777" w:rsidR="008E5818" w:rsidRPr="00616011" w:rsidRDefault="008E5818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E96A51" w14:textId="2448B12E" w:rsidR="0094364B" w:rsidRDefault="0094364B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Inoltre, </w:t>
      </w:r>
      <w:r w:rsidR="00D63A7F">
        <w:rPr>
          <w:rFonts w:asciiTheme="minorHAnsi" w:hAnsiTheme="minorHAnsi" w:cstheme="minorHAnsi"/>
          <w:color w:val="000000"/>
          <w:sz w:val="22"/>
          <w:szCs w:val="22"/>
        </w:rPr>
        <w:t>una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legislazione nazionale è stata ampiamente adottata in tutta Europa per implementare gli obiettivi regionali in materia di clima ed energia. Ciò significa che è improbabile che la direzione generale della transizione energetica </w:t>
      </w:r>
      <w:r w:rsidR="00D63A7F">
        <w:rPr>
          <w:rFonts w:asciiTheme="minorHAnsi" w:hAnsiTheme="minorHAnsi" w:cstheme="minorHAnsi"/>
          <w:color w:val="000000"/>
          <w:sz w:val="22"/>
          <w:szCs w:val="22"/>
        </w:rPr>
        <w:t>muti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. Tuttavia,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 decisioni politiche </w:t>
      </w:r>
      <w:r w:rsidR="00956E0A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assunte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dal parlamento appena eletto </w:t>
      </w:r>
      <w:r w:rsidR="00D63A7F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breve termine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potrebbero avere un impatto decisivo sulla velocità cui stiamo progredendo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. Una decisione politica che verrà presa nei prossimi mesi </w:t>
      </w:r>
      <w:r w:rsidR="00D63A7F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="00603030">
        <w:rPr>
          <w:rFonts w:asciiTheme="minorHAnsi" w:hAnsiTheme="minorHAnsi" w:cstheme="minorHAnsi"/>
          <w:color w:val="000000"/>
          <w:sz w:val="22"/>
          <w:szCs w:val="22"/>
        </w:rPr>
        <w:t>quella</w:t>
      </w:r>
      <w:r w:rsidR="00C47EE3">
        <w:rPr>
          <w:rFonts w:asciiTheme="minorHAnsi" w:hAnsiTheme="minorHAnsi" w:cstheme="minorHAnsi"/>
          <w:color w:val="000000"/>
          <w:sz w:val="22"/>
          <w:szCs w:val="22"/>
        </w:rPr>
        <w:t xml:space="preserve"> di concordare il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meccanismo esatto e </w:t>
      </w:r>
      <w:r w:rsidR="00C47EE3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603030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tempistica </w:t>
      </w:r>
      <w:r w:rsidR="00D63A7F">
        <w:rPr>
          <w:rFonts w:asciiTheme="minorHAnsi" w:hAnsiTheme="minorHAnsi" w:cstheme="minorHAnsi"/>
          <w:color w:val="000000"/>
          <w:sz w:val="22"/>
          <w:szCs w:val="22"/>
        </w:rPr>
        <w:t>dello s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cambio di emissioni e gli obiettivi </w:t>
      </w:r>
      <w:r w:rsidR="00D63A7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C47EE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63A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6E0A">
        <w:rPr>
          <w:rFonts w:asciiTheme="minorHAnsi" w:hAnsiTheme="minorHAnsi" w:cstheme="minorHAnsi"/>
          <w:color w:val="000000"/>
          <w:sz w:val="22"/>
          <w:szCs w:val="22"/>
        </w:rPr>
        <w:t>emission</w:t>
      </w:r>
      <w:r w:rsidR="00C47EE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nei prossimi decenni</w:t>
      </w:r>
      <w:r w:rsidR="00D63A7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8784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956E0A">
        <w:rPr>
          <w:rFonts w:asciiTheme="minorHAnsi" w:hAnsiTheme="minorHAnsi" w:cstheme="minorHAnsi"/>
          <w:color w:val="000000"/>
          <w:sz w:val="22"/>
          <w:szCs w:val="22"/>
        </w:rPr>
        <w:t xml:space="preserve">utto questo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>potrebbe essere frenat</w:t>
      </w:r>
      <w:r w:rsidR="00956E0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dai recenti </w:t>
      </w:r>
      <w:r w:rsidRPr="00A231D7">
        <w:rPr>
          <w:rFonts w:asciiTheme="minorHAnsi" w:hAnsiTheme="minorHAnsi" w:cstheme="minorHAnsi"/>
          <w:color w:val="000000"/>
          <w:sz w:val="22"/>
          <w:szCs w:val="22"/>
        </w:rPr>
        <w:t>risultati.</w:t>
      </w:r>
    </w:p>
    <w:p w14:paraId="725C5A65" w14:textId="074EF26D" w:rsidR="008E5818" w:rsidRPr="00616011" w:rsidRDefault="001A706A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32B1E">
        <w:rPr>
          <w:rFonts w:asciiTheme="minorHAnsi" w:hAnsiTheme="minorHAnsi" w:cstheme="minorHAnsi"/>
          <w:color w:val="000000"/>
          <w:sz w:val="22"/>
          <w:szCs w:val="22"/>
          <w:u w:val="single"/>
        </w:rPr>
        <w:t>Ma il pr</w:t>
      </w:r>
      <w:r w:rsidRPr="00616011">
        <w:rPr>
          <w:rFonts w:asciiTheme="minorHAnsi" w:hAnsiTheme="minorHAnsi" w:cstheme="minorHAnsi"/>
          <w:color w:val="000000"/>
          <w:sz w:val="22"/>
          <w:szCs w:val="22"/>
          <w:u w:val="single"/>
        </w:rPr>
        <w:t>ocesso di transizione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A32B1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è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destinat</w:t>
      </w:r>
      <w:r w:rsidR="00A32B1E">
        <w:rPr>
          <w:rFonts w:asciiTheme="minorHAnsi" w:hAnsiTheme="minorHAnsi" w:cstheme="minorHAnsi"/>
          <w:color w:val="000000"/>
          <w:sz w:val="22"/>
          <w:szCs w:val="22"/>
          <w:u w:val="single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 </w:t>
      </w:r>
      <w:r w:rsidRPr="00616011">
        <w:rPr>
          <w:rFonts w:asciiTheme="minorHAnsi" w:hAnsiTheme="minorHAnsi" w:cstheme="minorHAnsi"/>
          <w:color w:val="000000"/>
          <w:sz w:val="22"/>
          <w:szCs w:val="22"/>
          <w:u w:val="single"/>
        </w:rPr>
        <w:t>proseguir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e</w:t>
      </w:r>
    </w:p>
    <w:p w14:paraId="7EA09630" w14:textId="23B32CA3" w:rsidR="0094364B" w:rsidRDefault="0094364B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Sebbene il panorama politico e le coalizioni </w:t>
      </w:r>
      <w:r w:rsidR="00D609D7">
        <w:rPr>
          <w:rFonts w:asciiTheme="minorHAnsi" w:hAnsiTheme="minorHAnsi" w:cstheme="minorHAnsi"/>
          <w:color w:val="000000"/>
          <w:sz w:val="22"/>
          <w:szCs w:val="22"/>
        </w:rPr>
        <w:t>st</w:t>
      </w:r>
      <w:r w:rsidR="0097181B">
        <w:rPr>
          <w:rFonts w:asciiTheme="minorHAnsi" w:hAnsiTheme="minorHAnsi" w:cstheme="minorHAnsi"/>
          <w:color w:val="000000"/>
          <w:sz w:val="22"/>
          <w:szCs w:val="22"/>
        </w:rPr>
        <w:t>iano</w:t>
      </w:r>
      <w:r w:rsidR="00D609D7">
        <w:rPr>
          <w:rFonts w:asciiTheme="minorHAnsi" w:hAnsiTheme="minorHAnsi" w:cstheme="minorHAnsi"/>
          <w:color w:val="000000"/>
          <w:sz w:val="22"/>
          <w:szCs w:val="22"/>
        </w:rPr>
        <w:t xml:space="preserve"> ancora evolvendo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="00A231D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181B">
        <w:rPr>
          <w:rFonts w:asciiTheme="minorHAnsi" w:hAnsiTheme="minorHAnsi" w:cstheme="minorHAnsi"/>
          <w:color w:val="000000"/>
          <w:sz w:val="22"/>
          <w:szCs w:val="22"/>
        </w:rPr>
        <w:t xml:space="preserve">pur dovendo </w:t>
      </w:r>
      <w:r w:rsidR="00D609D7">
        <w:rPr>
          <w:rFonts w:asciiTheme="minorHAnsi" w:hAnsiTheme="minorHAnsi" w:cstheme="minorHAnsi"/>
          <w:color w:val="000000"/>
          <w:sz w:val="22"/>
          <w:szCs w:val="22"/>
        </w:rPr>
        <w:t>fare i conti con</w:t>
      </w:r>
      <w:r w:rsidR="0097181B">
        <w:rPr>
          <w:rFonts w:asciiTheme="minorHAnsi" w:hAnsiTheme="minorHAnsi" w:cstheme="minorHAnsi"/>
          <w:color w:val="000000"/>
          <w:sz w:val="22"/>
          <w:szCs w:val="22"/>
        </w:rPr>
        <w:t xml:space="preserve"> l’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incertezza,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possiamo </w:t>
      </w:r>
      <w:r w:rsidR="00D609D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rilevare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due importanti ragioni </w:t>
      </w:r>
      <w:r w:rsidR="00A231D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 continuare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231D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sostenere la transizione energetica in Europa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D562C">
        <w:rPr>
          <w:rFonts w:asciiTheme="minorHAnsi" w:hAnsiTheme="minorHAnsi" w:cstheme="minorHAnsi"/>
          <w:color w:val="000000"/>
          <w:sz w:val="22"/>
          <w:szCs w:val="22"/>
        </w:rPr>
        <w:t>le quali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non hanno nulla a che fare con la convinzione </w:t>
      </w:r>
      <w:r w:rsidRPr="006B43F2">
        <w:rPr>
          <w:rFonts w:asciiTheme="minorHAnsi" w:hAnsiTheme="minorHAnsi" w:cstheme="minorHAnsi"/>
          <w:color w:val="000000"/>
          <w:sz w:val="22"/>
          <w:szCs w:val="22"/>
        </w:rPr>
        <w:t>sul clima.</w:t>
      </w:r>
    </w:p>
    <w:p w14:paraId="2A1746BA" w14:textId="77777777" w:rsidR="008E5818" w:rsidRPr="0094364B" w:rsidRDefault="008E5818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71AEBDE0" w14:textId="5D245B23" w:rsidR="0094364B" w:rsidRPr="0094364B" w:rsidRDefault="0094364B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primo luogo, </w:t>
      </w:r>
      <w:r w:rsidR="006B43F2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negli ultimi due anni,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l'Europa ha </w:t>
      </w:r>
      <w:r w:rsidR="00D5411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registrato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un importante cambiamento </w:t>
      </w:r>
      <w:r w:rsidR="006B43F2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livello di forniture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energetic</w:t>
      </w:r>
      <w:r w:rsidR="006B43F2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he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causa della crisi ucraina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. Il continente importa una </w:t>
      </w:r>
      <w:r w:rsidR="004421C7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significativa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quota delle sue risorse energetiche, in particolare </w:t>
      </w:r>
      <w:r w:rsidR="00D5411B">
        <w:rPr>
          <w:rFonts w:asciiTheme="minorHAnsi" w:hAnsiTheme="minorHAnsi" w:cstheme="minorHAnsi"/>
          <w:color w:val="000000"/>
          <w:sz w:val="22"/>
          <w:szCs w:val="22"/>
        </w:rPr>
        <w:t xml:space="preserve">il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gas naturale, da </w:t>
      </w:r>
      <w:r w:rsidR="00D5411B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>aesi con diversi livelli di stabilità politica.</w:t>
      </w:r>
    </w:p>
    <w:p w14:paraId="4F5EA2AE" w14:textId="7A4A3515" w:rsidR="00A32B1E" w:rsidRDefault="0094364B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4364B">
        <w:rPr>
          <w:rFonts w:asciiTheme="minorHAnsi" w:hAnsiTheme="minorHAnsi" w:cstheme="minorHAnsi"/>
          <w:color w:val="000000"/>
          <w:sz w:val="22"/>
          <w:szCs w:val="22"/>
        </w:rPr>
        <w:t>Questa dipendenza dalle importazioni</w:t>
      </w:r>
      <w:r w:rsidR="00D5411B">
        <w:rPr>
          <w:rFonts w:asciiTheme="minorHAnsi" w:hAnsiTheme="minorHAnsi" w:cstheme="minorHAnsi"/>
          <w:color w:val="000000"/>
          <w:sz w:val="22"/>
          <w:szCs w:val="22"/>
        </w:rPr>
        <w:t xml:space="preserve"> energetiche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espone l'Europa a potenziali interruzioni de</w:t>
      </w:r>
      <w:r w:rsidR="00D5411B">
        <w:rPr>
          <w:rFonts w:asciiTheme="minorHAnsi" w:hAnsiTheme="minorHAnsi" w:cstheme="minorHAnsi"/>
          <w:color w:val="000000"/>
          <w:sz w:val="22"/>
          <w:szCs w:val="22"/>
        </w:rPr>
        <w:t xml:space="preserve">gli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>approvvigionament</w:t>
      </w:r>
      <w:r w:rsidR="00D5411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21C7">
        <w:rPr>
          <w:rFonts w:asciiTheme="minorHAnsi" w:hAnsiTheme="minorHAnsi" w:cstheme="minorHAnsi"/>
          <w:color w:val="000000"/>
          <w:sz w:val="22"/>
          <w:szCs w:val="22"/>
        </w:rPr>
        <w:t>a seguito di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conflitti, tensioni politiche</w:t>
      </w:r>
      <w:r w:rsidR="004421C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o cambiamenti nella politica estera.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 sicurezza energetica è diventata uno dei tre pilastri della politica energetica </w:t>
      </w:r>
      <w:r w:rsidR="004421C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europea</w:t>
      </w:r>
      <w:r w:rsidR="008C46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C46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</w:t>
      </w:r>
      <w:r w:rsidR="004421C7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acendo più</w:t>
      </w:r>
      <w:r w:rsidR="00D5411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affidamento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0567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sulle</w:t>
      </w:r>
      <w:r w:rsidR="00D5411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energi</w:t>
      </w:r>
      <w:r w:rsidR="00D5411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rinnovabil</w:t>
      </w:r>
      <w:r w:rsidR="00D5411B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l'Europa può ridurre la sua dipendenza dai combustibili fossili importati e la sua esposizione </w:t>
      </w:r>
      <w:r w:rsidR="00166CD3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verso i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rischi geopolitici associati alle importazioni </w:t>
      </w:r>
      <w:r w:rsidR="00166CD3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energetiche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E428CE" w14:textId="77777777" w:rsidR="00A32B1E" w:rsidRDefault="00A32B1E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7B71FC0" w14:textId="0C1106F3" w:rsidR="0094364B" w:rsidRDefault="0094364B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Sviluppare un mix energetico rinnovabile </w:t>
      </w:r>
      <w:r w:rsidR="00166CD3">
        <w:rPr>
          <w:rFonts w:asciiTheme="minorHAnsi" w:hAnsiTheme="minorHAnsi" w:cstheme="minorHAnsi"/>
          <w:color w:val="000000"/>
          <w:sz w:val="22"/>
          <w:szCs w:val="22"/>
        </w:rPr>
        <w:t>solido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e diversificato può garantire un approvvigionamento energetico più sicuro e resiliente in Europa, soprattutto considerando il crescente livello d</w:t>
      </w:r>
      <w:r w:rsidR="004421C7">
        <w:rPr>
          <w:rFonts w:asciiTheme="minorHAnsi" w:hAnsiTheme="minorHAnsi" w:cstheme="minorHAnsi"/>
          <w:color w:val="000000"/>
          <w:sz w:val="22"/>
          <w:szCs w:val="22"/>
        </w:rPr>
        <w:t xml:space="preserve">ella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domanda di energia e la necessità di </w:t>
      </w:r>
      <w:r w:rsidR="004421C7">
        <w:rPr>
          <w:rFonts w:asciiTheme="minorHAnsi" w:hAnsiTheme="minorHAnsi" w:cstheme="minorHAnsi"/>
          <w:color w:val="000000"/>
          <w:sz w:val="22"/>
          <w:szCs w:val="22"/>
        </w:rPr>
        <w:t>individuare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fonti di approvvigionamento energetico </w:t>
      </w:r>
      <w:r w:rsidR="004421C7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aggiuntive </w:t>
      </w:r>
      <w:r w:rsidR="004421C7">
        <w:rPr>
          <w:rFonts w:asciiTheme="minorHAnsi" w:hAnsiTheme="minorHAnsi" w:cstheme="minorHAnsi"/>
          <w:color w:val="000000"/>
          <w:sz w:val="22"/>
          <w:szCs w:val="22"/>
        </w:rPr>
        <w:t>per via de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ll'elettrificazione e dalla crescente domanda </w:t>
      </w:r>
      <w:r w:rsidR="008C46EE">
        <w:rPr>
          <w:rFonts w:asciiTheme="minorHAnsi" w:hAnsiTheme="minorHAnsi" w:cstheme="minorHAnsi"/>
          <w:color w:val="000000"/>
          <w:sz w:val="22"/>
          <w:szCs w:val="22"/>
        </w:rPr>
        <w:t>di energi</w:t>
      </w:r>
      <w:r w:rsidR="004421C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dei </w:t>
      </w:r>
      <w:r w:rsidR="008E5818">
        <w:rPr>
          <w:rFonts w:asciiTheme="minorHAnsi" w:hAnsiTheme="minorHAnsi" w:cstheme="minorHAnsi"/>
          <w:color w:val="000000"/>
          <w:sz w:val="22"/>
          <w:szCs w:val="22"/>
        </w:rPr>
        <w:t>data cente</w:t>
      </w:r>
      <w:r w:rsidR="005B738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4421C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7CCEB5" w14:textId="77777777" w:rsidR="008E5818" w:rsidRPr="0094364B" w:rsidRDefault="008E5818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2749FFD0" w14:textId="2EEDC837" w:rsidR="0094364B" w:rsidRDefault="0094364B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In secondo luogo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31672">
        <w:rPr>
          <w:rFonts w:asciiTheme="minorHAnsi" w:hAnsiTheme="minorHAnsi" w:cstheme="minorHAnsi"/>
          <w:color w:val="000000"/>
          <w:sz w:val="22"/>
          <w:szCs w:val="22"/>
        </w:rPr>
        <w:t xml:space="preserve">è presente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>un</w:t>
      </w:r>
      <w:r w:rsidR="00F5039F">
        <w:rPr>
          <w:rFonts w:asciiTheme="minorHAnsi" w:hAnsiTheme="minorHAnsi" w:cstheme="minorHAnsi"/>
          <w:color w:val="000000"/>
          <w:sz w:val="22"/>
          <w:szCs w:val="22"/>
        </w:rPr>
        <w:t>a solida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argoment</w:t>
      </w:r>
      <w:r w:rsidR="00F5039F">
        <w:rPr>
          <w:rFonts w:asciiTheme="minorHAnsi" w:hAnsiTheme="minorHAnsi" w:cstheme="minorHAnsi"/>
          <w:color w:val="000000"/>
          <w:sz w:val="22"/>
          <w:szCs w:val="22"/>
        </w:rPr>
        <w:t>azione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economic</w:t>
      </w:r>
      <w:r w:rsidR="00F5039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a favore della transizione </w:t>
      </w:r>
      <w:r w:rsidRPr="00AE2866">
        <w:rPr>
          <w:rFonts w:asciiTheme="minorHAnsi" w:hAnsiTheme="minorHAnsi" w:cstheme="minorHAnsi"/>
          <w:color w:val="000000"/>
          <w:sz w:val="22"/>
          <w:szCs w:val="22"/>
        </w:rPr>
        <w:t>energetica.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 energie rinnovabili </w:t>
      </w:r>
      <w:r w:rsidR="00A31672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presentano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un </w:t>
      </w:r>
      <w:r w:rsidR="00AE2866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significativo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vantaggio </w:t>
      </w:r>
      <w:r w:rsidR="00F5039F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rispetto ai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combustibili fossili in termini di competitività dei costi.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Poiché il costo delle tecnologie energetiche rinnovabili continua a diminuire, sono diventate sempre più competitive </w:t>
      </w:r>
      <w:r w:rsidR="00F5039F">
        <w:rPr>
          <w:rFonts w:asciiTheme="minorHAnsi" w:hAnsiTheme="minorHAnsi" w:cstheme="minorHAnsi"/>
          <w:color w:val="000000"/>
          <w:sz w:val="22"/>
          <w:szCs w:val="22"/>
        </w:rPr>
        <w:t>rispetto alle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fonti energetiche basate sui </w:t>
      </w:r>
      <w:r w:rsidRPr="00AE2866">
        <w:rPr>
          <w:rFonts w:asciiTheme="minorHAnsi" w:hAnsiTheme="minorHAnsi" w:cstheme="minorHAnsi"/>
          <w:color w:val="000000"/>
          <w:sz w:val="22"/>
          <w:szCs w:val="22"/>
        </w:rPr>
        <w:t>combustibili fossili.</w:t>
      </w:r>
    </w:p>
    <w:p w14:paraId="734C4CFC" w14:textId="77777777" w:rsidR="008E5818" w:rsidRPr="0094364B" w:rsidRDefault="008E5818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5CE79A17" w14:textId="147B433A" w:rsidR="0094364B" w:rsidRPr="00616011" w:rsidRDefault="0094364B" w:rsidP="008E5818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Questo fattore d</w:t>
      </w:r>
      <w:r w:rsidR="00B116B0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ella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convenienza, unit</w:t>
      </w:r>
      <w:r w:rsidR="00FD22BF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amente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al potenziale di risparmi sui costi a lungo termine, </w:t>
      </w:r>
      <w:r w:rsidR="00AE2866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spinge la transizione verso l'energia rinnovabile.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Ad esempio, un kilowattora (kWh) prodotto da un impianto solare costa circa la metà di uno prodotto da una centrale a carbone di nuova costruzione. Analogamente, un kWh </w:t>
      </w:r>
      <w:r w:rsidR="00AE2866">
        <w:rPr>
          <w:rFonts w:asciiTheme="minorHAnsi" w:hAnsiTheme="minorHAnsi" w:cstheme="minorHAnsi"/>
          <w:color w:val="000000"/>
          <w:sz w:val="22"/>
          <w:szCs w:val="22"/>
        </w:rPr>
        <w:t>generato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da un parco eolico onshore </w:t>
      </w:r>
      <w:r w:rsidR="00E11A76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="00AE2866">
        <w:rPr>
          <w:rFonts w:asciiTheme="minorHAnsi" w:hAnsiTheme="minorHAnsi" w:cstheme="minorHAnsi"/>
          <w:color w:val="000000"/>
          <w:sz w:val="22"/>
          <w:szCs w:val="22"/>
        </w:rPr>
        <w:t>mediamente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più </w:t>
      </w:r>
      <w:r w:rsidR="00E11A76">
        <w:rPr>
          <w:rFonts w:asciiTheme="minorHAnsi" w:hAnsiTheme="minorHAnsi" w:cstheme="minorHAnsi"/>
          <w:color w:val="000000"/>
          <w:sz w:val="22"/>
          <w:szCs w:val="22"/>
        </w:rPr>
        <w:t xml:space="preserve">economico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del 50% </w:t>
      </w:r>
      <w:r w:rsidR="00E11A76">
        <w:rPr>
          <w:rFonts w:asciiTheme="minorHAnsi" w:hAnsiTheme="minorHAnsi" w:cstheme="minorHAnsi"/>
          <w:color w:val="000000"/>
          <w:sz w:val="22"/>
          <w:szCs w:val="22"/>
        </w:rPr>
        <w:t>rispetto a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2866">
        <w:rPr>
          <w:rFonts w:asciiTheme="minorHAnsi" w:hAnsiTheme="minorHAnsi" w:cstheme="minorHAnsi"/>
          <w:color w:val="000000"/>
          <w:sz w:val="22"/>
          <w:szCs w:val="22"/>
        </w:rPr>
        <w:t xml:space="preserve">uno 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prodotto da una centrale a gas, </w:t>
      </w:r>
      <w:r w:rsidR="00AE2866">
        <w:rPr>
          <w:rFonts w:asciiTheme="minorHAnsi" w:hAnsiTheme="minorHAnsi" w:cstheme="minorHAnsi"/>
          <w:color w:val="000000"/>
          <w:sz w:val="22"/>
          <w:szCs w:val="22"/>
        </w:rPr>
        <w:t>mentre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l'eolico offshore è leggermente più costoso</w:t>
      </w:r>
      <w:r w:rsidR="00E11A7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ma comunque più economico del 10%. 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Investendo in infrastrutture per l'energia rinnovabile, l'Europa mira a realizzare un sistema energetico sostenibile</w:t>
      </w:r>
      <w:r w:rsidR="00AE2866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E2866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grado non solo di ridurre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le emissioni di carbonio, ma</w:t>
      </w:r>
      <w:r w:rsidR="007555FE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E2866"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fornire</w:t>
      </w:r>
      <w:r w:rsidRPr="006160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anche energia a prezzi accessibili ai suoi cittadini e alle sue aziende.</w:t>
      </w:r>
    </w:p>
    <w:p w14:paraId="0A5AF729" w14:textId="7B29EAD8" w:rsidR="008E5818" w:rsidRPr="00616011" w:rsidRDefault="00A32B1E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16011">
        <w:rPr>
          <w:rFonts w:asciiTheme="minorHAnsi" w:hAnsiTheme="minorHAnsi" w:cstheme="minorHAnsi"/>
          <w:color w:val="000000"/>
          <w:sz w:val="22"/>
          <w:szCs w:val="22"/>
          <w:u w:val="single"/>
        </w:rPr>
        <w:t>Un’opportunità sul lungo periodo</w:t>
      </w:r>
    </w:p>
    <w:p w14:paraId="3C0F41CB" w14:textId="7A868E44" w:rsidR="0094364B" w:rsidRPr="00A61428" w:rsidRDefault="005B7388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47EE3">
        <w:rPr>
          <w:rFonts w:asciiTheme="minorHAnsi" w:hAnsiTheme="minorHAnsi" w:cstheme="minorHAnsi"/>
          <w:color w:val="000000"/>
          <w:sz w:val="22"/>
          <w:szCs w:val="22"/>
        </w:rPr>
        <w:t xml:space="preserve">onsiderando </w:t>
      </w:r>
      <w:r w:rsidR="007555FE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incertezza </w:t>
      </w:r>
      <w:r w:rsidR="00C47EE3">
        <w:rPr>
          <w:rFonts w:asciiTheme="minorHAnsi" w:hAnsiTheme="minorHAnsi" w:cstheme="minorHAnsi"/>
          <w:color w:val="000000"/>
          <w:sz w:val="22"/>
          <w:szCs w:val="22"/>
        </w:rPr>
        <w:t>nel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breve termine </w:t>
      </w:r>
      <w:r w:rsidR="00C47EE3">
        <w:rPr>
          <w:rFonts w:asciiTheme="minorHAnsi" w:hAnsiTheme="minorHAnsi" w:cstheme="minorHAnsi"/>
          <w:color w:val="000000"/>
          <w:sz w:val="22"/>
          <w:szCs w:val="22"/>
        </w:rPr>
        <w:t>sul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>la velocità d</w:t>
      </w:r>
      <w:r w:rsidR="00C47EE3">
        <w:rPr>
          <w:rFonts w:asciiTheme="minorHAnsi" w:hAnsiTheme="minorHAnsi" w:cstheme="minorHAnsi"/>
          <w:color w:val="000000"/>
          <w:sz w:val="22"/>
          <w:szCs w:val="22"/>
        </w:rPr>
        <w:t>ella sua attuazione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, la necessità della transizione energetica </w:t>
      </w:r>
      <w:r w:rsidR="008E5818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8E5818" w:rsidRPr="0094364B">
        <w:rPr>
          <w:rFonts w:asciiTheme="minorHAnsi" w:hAnsiTheme="minorHAnsi" w:cstheme="minorHAnsi"/>
          <w:color w:val="000000"/>
          <w:sz w:val="22"/>
          <w:szCs w:val="22"/>
        </w:rPr>
        <w:t>Europa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4DC3">
        <w:rPr>
          <w:rFonts w:asciiTheme="minorHAnsi" w:hAnsiTheme="minorHAnsi" w:cstheme="minorHAnsi"/>
          <w:color w:val="000000"/>
          <w:sz w:val="22"/>
          <w:szCs w:val="22"/>
        </w:rPr>
        <w:t>presenta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varie sfaccettature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. Gli sforzi </w:t>
      </w:r>
      <w:r w:rsidR="00262453">
        <w:rPr>
          <w:rFonts w:asciiTheme="minorHAnsi" w:hAnsiTheme="minorHAnsi" w:cstheme="minorHAnsi"/>
          <w:color w:val="000000"/>
          <w:sz w:val="22"/>
          <w:szCs w:val="22"/>
        </w:rPr>
        <w:t>volti alla</w:t>
      </w:r>
      <w:r w:rsidR="0094364B" w:rsidRPr="0094364B">
        <w:rPr>
          <w:rFonts w:asciiTheme="minorHAnsi" w:hAnsiTheme="minorHAnsi" w:cstheme="minorHAnsi"/>
          <w:color w:val="000000"/>
          <w:sz w:val="22"/>
          <w:szCs w:val="22"/>
        </w:rPr>
        <w:t xml:space="preserve"> decarbonizzazione sono solo una parte del puzzle. Le preoccupazioni sulla sicurezza energetica, l'importanza di diversificare le fonti energetiche e la ricerca di soluzioni energetiche accessibili e convenienti </w:t>
      </w:r>
      <w:r w:rsidR="0094364B" w:rsidRPr="00A61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assicurano che la transizione sia economicamente fattibile e sostenibile nel lungo periodo</w:t>
      </w:r>
      <w:r w:rsidR="0094364B" w:rsidRPr="00E87844">
        <w:rPr>
          <w:rFonts w:asciiTheme="minorHAnsi" w:hAnsiTheme="minorHAnsi" w:cstheme="minorHAnsi"/>
          <w:color w:val="000000"/>
          <w:sz w:val="22"/>
          <w:szCs w:val="22"/>
        </w:rPr>
        <w:t xml:space="preserve">. L'Europa </w:t>
      </w:r>
      <w:r w:rsidR="00262453" w:rsidRPr="00E87844">
        <w:rPr>
          <w:rFonts w:asciiTheme="minorHAnsi" w:hAnsiTheme="minorHAnsi" w:cstheme="minorHAnsi"/>
          <w:color w:val="000000"/>
          <w:sz w:val="22"/>
          <w:szCs w:val="22"/>
        </w:rPr>
        <w:t>presenta</w:t>
      </w:r>
      <w:r w:rsidR="0094364B" w:rsidRPr="00E87844">
        <w:rPr>
          <w:rFonts w:asciiTheme="minorHAnsi" w:hAnsiTheme="minorHAnsi" w:cstheme="minorHAnsi"/>
          <w:color w:val="000000"/>
          <w:sz w:val="22"/>
          <w:szCs w:val="22"/>
        </w:rPr>
        <w:t xml:space="preserve"> un percorso solido e credibile per </w:t>
      </w:r>
      <w:r w:rsidR="00262453" w:rsidRPr="00E87844">
        <w:rPr>
          <w:rFonts w:asciiTheme="minorHAnsi" w:hAnsiTheme="minorHAnsi" w:cstheme="minorHAnsi"/>
          <w:color w:val="000000"/>
          <w:sz w:val="22"/>
          <w:szCs w:val="22"/>
        </w:rPr>
        <w:t>proseguire nella</w:t>
      </w:r>
      <w:r w:rsidR="0094364B" w:rsidRPr="00E87844">
        <w:rPr>
          <w:rFonts w:asciiTheme="minorHAnsi" w:hAnsiTheme="minorHAnsi" w:cstheme="minorHAnsi"/>
          <w:color w:val="000000"/>
          <w:sz w:val="22"/>
          <w:szCs w:val="22"/>
        </w:rPr>
        <w:t xml:space="preserve"> transizione verso un sistema energetico decarbonizzato, sicuro dal punto di vista energetico</w:t>
      </w:r>
      <w:r w:rsidR="00262453" w:rsidRPr="00E8784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4364B" w:rsidRPr="00E87844">
        <w:rPr>
          <w:rFonts w:asciiTheme="minorHAnsi" w:hAnsiTheme="minorHAnsi" w:cstheme="minorHAnsi"/>
          <w:color w:val="000000"/>
          <w:sz w:val="22"/>
          <w:szCs w:val="22"/>
        </w:rPr>
        <w:t xml:space="preserve"> e accessibile, </w:t>
      </w:r>
      <w:r w:rsidR="00262453" w:rsidRPr="00E878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 </w:t>
      </w:r>
      <w:r w:rsidR="0094364B" w:rsidRPr="00E878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che si traduce in un'opportunità d</w:t>
      </w:r>
      <w:r w:rsidR="006F4DBB" w:rsidRPr="00E878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’</w:t>
      </w:r>
      <w:r w:rsidR="0094364B" w:rsidRPr="00E878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investimento unica nei prossimi decenni</w:t>
      </w:r>
      <w:r w:rsidR="0094364B" w:rsidRPr="00A6142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5BCFA1" w14:textId="77777777" w:rsidR="0094364B" w:rsidRPr="00A61428" w:rsidRDefault="0094364B" w:rsidP="00616011">
      <w:pPr>
        <w:pStyle w:val="typographyparagraph-sc-numijp-1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344DCCCE" w14:textId="638394BA" w:rsidR="0094364B" w:rsidRDefault="0094364B" w:rsidP="00616011">
      <w:pPr>
        <w:spacing w:after="0" w:line="240" w:lineRule="auto"/>
        <w:contextualSpacing/>
      </w:pPr>
      <w:r>
        <w:rPr>
          <w:rStyle w:val="artemistagdefaultlabel-sc-vu3qbq-2"/>
          <w:rFonts w:ascii="Noto Sans" w:hAnsi="Noto Sans" w:cs="Noto Sans"/>
          <w:color w:val="FFFFFF"/>
          <w:sz w:val="27"/>
          <w:szCs w:val="27"/>
        </w:rPr>
        <w:t>e</w:t>
      </w:r>
    </w:p>
    <w:sectPr w:rsidR="00943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4B"/>
    <w:rsid w:val="000747BC"/>
    <w:rsid w:val="00166CD3"/>
    <w:rsid w:val="001703E3"/>
    <w:rsid w:val="001A706A"/>
    <w:rsid w:val="001B4D55"/>
    <w:rsid w:val="0024698D"/>
    <w:rsid w:val="00256305"/>
    <w:rsid w:val="00262453"/>
    <w:rsid w:val="00295FFE"/>
    <w:rsid w:val="002A51BD"/>
    <w:rsid w:val="002F3FD4"/>
    <w:rsid w:val="00316340"/>
    <w:rsid w:val="003E0B64"/>
    <w:rsid w:val="00411F13"/>
    <w:rsid w:val="0043638D"/>
    <w:rsid w:val="004421C7"/>
    <w:rsid w:val="004E28CD"/>
    <w:rsid w:val="004E32AB"/>
    <w:rsid w:val="005105F0"/>
    <w:rsid w:val="005B7388"/>
    <w:rsid w:val="005D5F6A"/>
    <w:rsid w:val="00603030"/>
    <w:rsid w:val="0060567B"/>
    <w:rsid w:val="00616011"/>
    <w:rsid w:val="006241FC"/>
    <w:rsid w:val="00640AE5"/>
    <w:rsid w:val="006B43F2"/>
    <w:rsid w:val="006F4DBB"/>
    <w:rsid w:val="007555FE"/>
    <w:rsid w:val="00894316"/>
    <w:rsid w:val="008C3687"/>
    <w:rsid w:val="008C46EE"/>
    <w:rsid w:val="008D31A3"/>
    <w:rsid w:val="008D5F63"/>
    <w:rsid w:val="008E5818"/>
    <w:rsid w:val="00905BD7"/>
    <w:rsid w:val="0094364B"/>
    <w:rsid w:val="00946D14"/>
    <w:rsid w:val="00956E0A"/>
    <w:rsid w:val="0097181B"/>
    <w:rsid w:val="009D562C"/>
    <w:rsid w:val="00A04DC3"/>
    <w:rsid w:val="00A231D7"/>
    <w:rsid w:val="00A31672"/>
    <w:rsid w:val="00A32B1E"/>
    <w:rsid w:val="00A33881"/>
    <w:rsid w:val="00A61428"/>
    <w:rsid w:val="00A94B12"/>
    <w:rsid w:val="00AE2866"/>
    <w:rsid w:val="00B116B0"/>
    <w:rsid w:val="00B625DB"/>
    <w:rsid w:val="00BE79DE"/>
    <w:rsid w:val="00C10F1D"/>
    <w:rsid w:val="00C468EB"/>
    <w:rsid w:val="00C47EE3"/>
    <w:rsid w:val="00CF5A70"/>
    <w:rsid w:val="00D5411B"/>
    <w:rsid w:val="00D609D7"/>
    <w:rsid w:val="00D63A7F"/>
    <w:rsid w:val="00E11A76"/>
    <w:rsid w:val="00E802A5"/>
    <w:rsid w:val="00E87844"/>
    <w:rsid w:val="00F245D7"/>
    <w:rsid w:val="00F5039F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282A"/>
  <w15:chartTrackingRefBased/>
  <w15:docId w15:val="{33BD97C8-F7F0-475A-B016-B5989C6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3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rtemistagdefaultlabel-sc-vu3qbq-2">
    <w:name w:val="artemistag__defaultlabel-sc-vu3qbq-2"/>
    <w:basedOn w:val="Carpredefinitoparagrafo"/>
    <w:rsid w:val="0094364B"/>
  </w:style>
  <w:style w:type="character" w:customStyle="1" w:styleId="Titolo1Carattere">
    <w:name w:val="Titolo 1 Carattere"/>
    <w:basedOn w:val="Carpredefinitoparagrafo"/>
    <w:link w:val="Titolo1"/>
    <w:uiPriority w:val="9"/>
    <w:rsid w:val="0094364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utilsstyledtypography-sc-1yp2xd1-0">
    <w:name w:val="utils__styledtypography-sc-1yp2xd1-0"/>
    <w:basedOn w:val="Normale"/>
    <w:rsid w:val="0094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ypographyparagraph-sc-numijp-1">
    <w:name w:val="typography__paragraph-sc-numijp-1"/>
    <w:basedOn w:val="Normale"/>
    <w:rsid w:val="0094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4364B"/>
    <w:rPr>
      <w:color w:val="0000FF"/>
      <w:u w:val="single"/>
    </w:rPr>
  </w:style>
  <w:style w:type="paragraph" w:styleId="Revisione">
    <w:name w:val="Revision"/>
    <w:hidden/>
    <w:uiPriority w:val="99"/>
    <w:semiHidden/>
    <w:rsid w:val="008E5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47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Diana Ferla</cp:lastModifiedBy>
  <cp:revision>4</cp:revision>
  <dcterms:created xsi:type="dcterms:W3CDTF">2024-07-15T06:13:00Z</dcterms:created>
  <dcterms:modified xsi:type="dcterms:W3CDTF">2024-07-15T12:59:00Z</dcterms:modified>
</cp:coreProperties>
</file>