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BB957" w14:textId="77777777" w:rsidR="00E5199B" w:rsidRDefault="00E5199B" w:rsidP="00E5199B">
      <w:r>
        <w:rPr>
          <w:noProof/>
        </w:rPr>
        <w:drawing>
          <wp:inline distT="0" distB="0" distL="0" distR="0" wp14:anchorId="33D9D460" wp14:editId="46B52823">
            <wp:extent cx="2795455" cy="666427"/>
            <wp:effectExtent l="0" t="0" r="508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63" cy="674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020543" w14:textId="77777777" w:rsidR="00E5199B" w:rsidRDefault="00E5199B" w:rsidP="00E5199B">
      <w:pPr>
        <w:pStyle w:val="Nessunaspaziatur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D1A893" wp14:editId="3C3CCB6C">
                <wp:simplePos x="0" y="0"/>
                <wp:positionH relativeFrom="margin">
                  <wp:posOffset>3112135</wp:posOffset>
                </wp:positionH>
                <wp:positionV relativeFrom="paragraph">
                  <wp:posOffset>167640</wp:posOffset>
                </wp:positionV>
                <wp:extent cx="3225165" cy="140462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1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BA836" w14:textId="1B416750" w:rsidR="00E5199B" w:rsidRPr="00963386" w:rsidRDefault="00E5199B" w:rsidP="00BC5DF4">
                            <w:pPr>
                              <w:pStyle w:val="Nessunaspaziatura"/>
                              <w:jc w:val="right"/>
                              <w:rPr>
                                <w:lang w:val="en-US"/>
                              </w:rPr>
                            </w:pPr>
                            <w:r w:rsidRPr="00963386">
                              <w:rPr>
                                <w:lang w:val="en-US"/>
                              </w:rPr>
                              <w:t xml:space="preserve">Milano, </w:t>
                            </w:r>
                            <w:r w:rsidR="003B7934">
                              <w:rPr>
                                <w:lang w:val="en-US"/>
                              </w:rPr>
                              <w:t>settembre</w:t>
                            </w:r>
                            <w:r w:rsidR="00AD5421" w:rsidRPr="00A85DD4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85DD4">
                              <w:rPr>
                                <w:lang w:val="en-US"/>
                              </w:rPr>
                              <w:t>202</w:t>
                            </w:r>
                            <w:r w:rsidR="004844D5">
                              <w:rPr>
                                <w:lang w:val="en-US"/>
                              </w:rPr>
                              <w:t>4</w:t>
                            </w:r>
                          </w:p>
                          <w:p w14:paraId="5250E899" w14:textId="77777777" w:rsidR="00E5199B" w:rsidRPr="00963386" w:rsidRDefault="00E5199B" w:rsidP="00E5199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963386">
                              <w:rPr>
                                <w:b/>
                                <w:bCs/>
                                <w:color w:val="0070C0"/>
                                <w:lang w:val="en-US"/>
                              </w:rPr>
                              <w:t>Italian Equity Research – Strategy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D1A89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5.05pt;margin-top:13.2pt;width:25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" stroked="f">
                <v:textbox style="mso-fit-shape-to-text:t">
                  <w:txbxContent>
                    <w:p w14:paraId="375BA836" w14:textId="1B416750" w:rsidR="00E5199B" w:rsidRPr="00963386" w:rsidRDefault="00E5199B" w:rsidP="00BC5DF4">
                      <w:pPr>
                        <w:pStyle w:val="Nessunaspaziatura"/>
                        <w:jc w:val="right"/>
                        <w:rPr>
                          <w:lang w:val="en-US"/>
                        </w:rPr>
                      </w:pPr>
                      <w:r w:rsidRPr="00963386">
                        <w:rPr>
                          <w:lang w:val="en-US"/>
                        </w:rPr>
                        <w:t xml:space="preserve">Milano, </w:t>
                      </w:r>
                      <w:r w:rsidR="003B7934">
                        <w:rPr>
                          <w:lang w:val="en-US"/>
                        </w:rPr>
                        <w:t>settembre</w:t>
                      </w:r>
                      <w:r w:rsidR="00AD5421" w:rsidRPr="00A85DD4">
                        <w:rPr>
                          <w:lang w:val="en-US"/>
                        </w:rPr>
                        <w:t xml:space="preserve"> </w:t>
                      </w:r>
                      <w:r w:rsidRPr="00A85DD4">
                        <w:rPr>
                          <w:lang w:val="en-US"/>
                        </w:rPr>
                        <w:t>202</w:t>
                      </w:r>
                      <w:r w:rsidR="004844D5">
                        <w:rPr>
                          <w:lang w:val="en-US"/>
                        </w:rPr>
                        <w:t>4</w:t>
                      </w:r>
                    </w:p>
                    <w:p w14:paraId="5250E899" w14:textId="77777777" w:rsidR="00E5199B" w:rsidRPr="00963386" w:rsidRDefault="00E5199B" w:rsidP="00E5199B">
                      <w:pPr>
                        <w:jc w:val="right"/>
                        <w:rPr>
                          <w:lang w:val="en-US"/>
                        </w:rPr>
                      </w:pPr>
                      <w:r w:rsidRPr="00963386">
                        <w:rPr>
                          <w:b/>
                          <w:bCs/>
                          <w:color w:val="0070C0"/>
                          <w:lang w:val="en-US"/>
                        </w:rPr>
                        <w:t>Italian Equity Research – Strategy Report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90C031" w14:textId="77777777" w:rsidR="00E5199B" w:rsidRDefault="00E5199B" w:rsidP="00E5199B">
      <w:pPr>
        <w:pStyle w:val="Nessunaspaziatura"/>
      </w:pPr>
    </w:p>
    <w:tbl>
      <w:tblPr>
        <w:tblStyle w:val="TableNormal"/>
        <w:tblW w:w="993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931"/>
      </w:tblGrid>
      <w:tr w:rsidR="00E5199B" w:rsidRPr="00843E74" w14:paraId="28F691FF" w14:textId="77777777" w:rsidTr="00B9167A">
        <w:trPr>
          <w:trHeight w:val="838"/>
        </w:trPr>
        <w:tc>
          <w:tcPr>
            <w:tcW w:w="9931" w:type="dxa"/>
          </w:tcPr>
          <w:p w14:paraId="2A2A0460" w14:textId="3D39B38C" w:rsidR="00E5199B" w:rsidRPr="000342D6" w:rsidRDefault="001D30F7" w:rsidP="00382832">
            <w:pPr>
              <w:spacing w:line="611" w:lineRule="exact"/>
              <w:ind w:left="74"/>
              <w:rPr>
                <w:rFonts w:ascii="Calibri" w:eastAsia="Calibri" w:hAnsi="Calibri" w:cs="Calibri"/>
                <w:b/>
                <w:sz w:val="50"/>
                <w:szCs w:val="50"/>
              </w:rPr>
            </w:pP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Report mensile sulle</w:t>
            </w:r>
            <w:r w:rsidRPr="000342D6">
              <w:rPr>
                <w:rFonts w:ascii="Calibri" w:eastAsia="Calibri" w:hAnsi="Calibri" w:cs="Calibri"/>
                <w:b/>
                <w:color w:val="075292"/>
                <w:spacing w:val="-2"/>
                <w:sz w:val="50"/>
                <w:szCs w:val="50"/>
              </w:rPr>
              <w:t xml:space="preserve"> 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Mid</w:t>
            </w:r>
            <w:r w:rsidR="00CE0359">
              <w:rPr>
                <w:rFonts w:ascii="Calibri" w:eastAsia="Calibri" w:hAnsi="Calibri" w:cs="Calibri"/>
                <w:b/>
                <w:color w:val="075292"/>
                <w:spacing w:val="-3"/>
                <w:sz w:val="50"/>
                <w:szCs w:val="50"/>
              </w:rPr>
              <w:t>-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Small</w:t>
            </w:r>
            <w:r w:rsidRPr="000342D6">
              <w:rPr>
                <w:rFonts w:ascii="Calibri" w:eastAsia="Calibri" w:hAnsi="Calibri" w:cs="Calibri"/>
                <w:b/>
                <w:color w:val="075292"/>
                <w:spacing w:val="-2"/>
                <w:sz w:val="50"/>
                <w:szCs w:val="50"/>
              </w:rPr>
              <w:t xml:space="preserve"> </w:t>
            </w:r>
            <w:r w:rsidRPr="000342D6">
              <w:rPr>
                <w:rFonts w:ascii="Calibri" w:eastAsia="Calibri" w:hAnsi="Calibri" w:cs="Calibri"/>
                <w:b/>
                <w:color w:val="075292"/>
                <w:sz w:val="50"/>
                <w:szCs w:val="50"/>
              </w:rPr>
              <w:t>Cap italiane</w:t>
            </w:r>
          </w:p>
        </w:tc>
      </w:tr>
      <w:tr w:rsidR="00E5199B" w:rsidRPr="00CE0359" w14:paraId="6EBFD062" w14:textId="77777777" w:rsidTr="00B9167A">
        <w:trPr>
          <w:trHeight w:val="411"/>
        </w:trPr>
        <w:tc>
          <w:tcPr>
            <w:tcW w:w="9931" w:type="dxa"/>
          </w:tcPr>
          <w:p w14:paraId="164BA32E" w14:textId="248AC2DD" w:rsidR="00DD7F33" w:rsidRPr="00DD7F33" w:rsidRDefault="00B9167A" w:rsidP="00DD7F33">
            <w:pPr>
              <w:spacing w:before="83"/>
              <w:ind w:left="74"/>
              <w:rPr>
                <w:rFonts w:ascii="Calibri" w:eastAsia="Calibri" w:hAnsi="Calibri" w:cs="Calibri"/>
                <w:b/>
                <w:bCs/>
                <w:color w:val="808080"/>
                <w:sz w:val="10"/>
                <w:szCs w:val="10"/>
                <w:lang w:val="it-IT"/>
              </w:rPr>
            </w:pPr>
            <w:r w:rsidRPr="00B9167A">
              <w:rPr>
                <w:rFonts w:ascii="Calibri" w:eastAsia="Calibri" w:hAnsi="Calibri" w:cs="Calibri"/>
                <w:b/>
                <w:bCs/>
                <w:color w:val="808080"/>
                <w:sz w:val="36"/>
                <w:lang w:val="it-IT"/>
              </w:rPr>
              <w:t>Il taglio dei tassi d'interesse dovrebbe favorire le mid/small cap</w:t>
            </w:r>
          </w:p>
        </w:tc>
      </w:tr>
    </w:tbl>
    <w:p w14:paraId="5AF928DD" w14:textId="77777777" w:rsidR="006E09E7" w:rsidRDefault="006E09E7" w:rsidP="00E5199B">
      <w:pPr>
        <w:pStyle w:val="Nessunaspaziatura"/>
        <w:jc w:val="both"/>
        <w:rPr>
          <w:b/>
          <w:bCs/>
          <w:sz w:val="28"/>
          <w:szCs w:val="28"/>
        </w:rPr>
      </w:pPr>
    </w:p>
    <w:p w14:paraId="4FAA340A" w14:textId="24188027" w:rsidR="00E5199B" w:rsidRPr="00CE0359" w:rsidRDefault="00CE0359" w:rsidP="00E5199B">
      <w:pPr>
        <w:pStyle w:val="Nessunaspaziatura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4B4AC" wp14:editId="3559BB4D">
                <wp:simplePos x="0" y="0"/>
                <wp:positionH relativeFrom="margin">
                  <wp:posOffset>-66675</wp:posOffset>
                </wp:positionH>
                <wp:positionV relativeFrom="paragraph">
                  <wp:posOffset>84455</wp:posOffset>
                </wp:positionV>
                <wp:extent cx="1666068" cy="0"/>
                <wp:effectExtent l="0" t="0" r="29845" b="3810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06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63BA8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.25pt,6.65pt" to="125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4F9B47F6" w14:textId="7F5882AA" w:rsidR="00E5199B" w:rsidRPr="006D4639" w:rsidRDefault="00E5199B" w:rsidP="00E5199B">
      <w:pPr>
        <w:pStyle w:val="Nessunaspaziatura"/>
        <w:jc w:val="both"/>
        <w:rPr>
          <w:i/>
          <w:iCs/>
          <w:lang w:val="en-US"/>
        </w:rPr>
      </w:pPr>
      <w:r w:rsidRPr="006D4639">
        <w:rPr>
          <w:i/>
          <w:iCs/>
          <w:lang w:val="en-US"/>
        </w:rPr>
        <w:t xml:space="preserve">A cura </w:t>
      </w:r>
      <w:r w:rsidR="00E6267D" w:rsidRPr="006D4639">
        <w:rPr>
          <w:i/>
          <w:iCs/>
          <w:lang w:val="en-US"/>
        </w:rPr>
        <w:t xml:space="preserve">di </w:t>
      </w:r>
      <w:r w:rsidR="00BC5658" w:rsidRPr="006D4639">
        <w:rPr>
          <w:i/>
          <w:iCs/>
          <w:lang w:val="en-US"/>
        </w:rPr>
        <w:t>Andrea Randone, Head of Mid Small Cap Research di Intermonte</w:t>
      </w:r>
    </w:p>
    <w:p w14:paraId="08A7A6F9" w14:textId="77777777" w:rsidR="00DC0BA7" w:rsidRPr="006D4639" w:rsidRDefault="00DC0BA7" w:rsidP="00DC0BA7">
      <w:pPr>
        <w:spacing w:after="120" w:line="250" w:lineRule="exact"/>
        <w:rPr>
          <w:b/>
          <w:bCs/>
          <w:lang w:val="en-US"/>
        </w:rPr>
      </w:pPr>
    </w:p>
    <w:p w14:paraId="105F92BB" w14:textId="60CA86C3" w:rsidR="00635D84" w:rsidRPr="00635D84" w:rsidRDefault="004C315F" w:rsidP="00104369">
      <w:pPr>
        <w:pStyle w:val="Bullets"/>
        <w:numPr>
          <w:ilvl w:val="0"/>
          <w:numId w:val="26"/>
        </w:numPr>
        <w:spacing w:after="0" w:line="240" w:lineRule="auto"/>
        <w:ind w:left="426"/>
        <w:rPr>
          <w:spacing w:val="-4"/>
          <w:sz w:val="22"/>
          <w:szCs w:val="22"/>
        </w:rPr>
      </w:pPr>
      <w:r w:rsidRPr="00264C98">
        <w:rPr>
          <w:b/>
          <w:bCs/>
          <w:spacing w:val="-4"/>
          <w:sz w:val="22"/>
          <w:szCs w:val="22"/>
        </w:rPr>
        <w:t>Performance (</w:t>
      </w:r>
      <w:r w:rsidR="006E09E7">
        <w:rPr>
          <w:b/>
          <w:bCs/>
          <w:spacing w:val="-4"/>
          <w:sz w:val="22"/>
          <w:szCs w:val="22"/>
        </w:rPr>
        <w:t>-</w:t>
      </w:r>
      <w:r w:rsidRPr="00264C98">
        <w:rPr>
          <w:b/>
          <w:bCs/>
          <w:spacing w:val="-4"/>
          <w:sz w:val="22"/>
          <w:szCs w:val="22"/>
        </w:rPr>
        <w:t>).</w:t>
      </w:r>
      <w:r w:rsidR="00AC1B5B" w:rsidRPr="00264C98">
        <w:rPr>
          <w:b/>
          <w:bCs/>
          <w:spacing w:val="-4"/>
          <w:sz w:val="22"/>
          <w:szCs w:val="22"/>
        </w:rPr>
        <w:t xml:space="preserve"> </w:t>
      </w:r>
      <w:r w:rsidR="00635D84" w:rsidRPr="00635D84">
        <w:rPr>
          <w:spacing w:val="-4"/>
          <w:sz w:val="22"/>
          <w:szCs w:val="22"/>
        </w:rPr>
        <w:t>Il mercato azionario italiano (prezzi al 16 settembre 2024) ha registrato una performance positiva dell'1,4% nell'ultimo mese ed è in rialzo del 9,9% su base annua, grazie soprattutto al re-rating dei titoli delle utilities. Nell’ultimo mese</w:t>
      </w:r>
      <w:r w:rsidR="00635D84">
        <w:rPr>
          <w:spacing w:val="-4"/>
          <w:sz w:val="22"/>
          <w:szCs w:val="22"/>
        </w:rPr>
        <w:t>,</w:t>
      </w:r>
      <w:r w:rsidR="00635D84" w:rsidRPr="00635D84">
        <w:rPr>
          <w:spacing w:val="-4"/>
          <w:sz w:val="22"/>
          <w:szCs w:val="22"/>
        </w:rPr>
        <w:t xml:space="preserve"> l'indice FTSE Italy Mid-Cap (-0,4%) ha sottoperformato l'indice principale dell'1,8% (-6,7% su base annua relativa), mentre l'indice FTSE Italy Small Caps (+0,1%) ha registrato una performance dell'1,3% inferiore rispetto al mercato e del -10,3% su base relativa da inizio 2024. Guardando alle performance delle mid/small cap in Europa, l'indice MSCI Europe Small Caps è salito dello 0,8% nell'ultimo mese, registrando una performance migliore rispetto alle mid/small cap italiane.</w:t>
      </w:r>
      <w:r w:rsidR="00635D84">
        <w:rPr>
          <w:b/>
          <w:bCs/>
          <w:spacing w:val="-4"/>
          <w:sz w:val="22"/>
          <w:szCs w:val="22"/>
        </w:rPr>
        <w:t xml:space="preserve">  </w:t>
      </w:r>
    </w:p>
    <w:p w14:paraId="3ADDCD67" w14:textId="4A32A141" w:rsidR="00635D84" w:rsidRDefault="006D11BB" w:rsidP="00104369">
      <w:pPr>
        <w:pStyle w:val="Paragrafoelenco"/>
        <w:numPr>
          <w:ilvl w:val="0"/>
          <w:numId w:val="23"/>
        </w:numPr>
        <w:spacing w:line="240" w:lineRule="auto"/>
        <w:ind w:left="426"/>
        <w:jc w:val="both"/>
        <w:rPr>
          <w:spacing w:val="-4"/>
        </w:rPr>
      </w:pPr>
      <w:r w:rsidRPr="00AC1B5B">
        <w:rPr>
          <w:b/>
          <w:bCs/>
          <w:spacing w:val="-4"/>
        </w:rPr>
        <w:t>Stime (</w:t>
      </w:r>
      <w:r w:rsidR="006E09E7">
        <w:rPr>
          <w:b/>
          <w:bCs/>
          <w:spacing w:val="-4"/>
        </w:rPr>
        <w:t>-</w:t>
      </w:r>
      <w:r w:rsidRPr="00AC1B5B">
        <w:rPr>
          <w:b/>
          <w:bCs/>
          <w:spacing w:val="-4"/>
        </w:rPr>
        <w:t>).</w:t>
      </w:r>
      <w:r w:rsidRPr="00AC1B5B">
        <w:rPr>
          <w:spacing w:val="-4"/>
        </w:rPr>
        <w:t xml:space="preserve"> </w:t>
      </w:r>
      <w:r w:rsidR="00635D84" w:rsidRPr="00635D84">
        <w:rPr>
          <w:spacing w:val="-4"/>
        </w:rPr>
        <w:t xml:space="preserve">Dall'inizio del 2024, abbiamo attuato una revisione del -3,6%/-3,5% delle nostre stime </w:t>
      </w:r>
      <w:r w:rsidR="00635D84" w:rsidRPr="00104369">
        <w:rPr>
          <w:spacing w:val="-4"/>
        </w:rPr>
        <w:t>su</w:t>
      </w:r>
      <w:r w:rsidR="00635D84">
        <w:rPr>
          <w:spacing w:val="-4"/>
        </w:rPr>
        <w:t xml:space="preserve">gli </w:t>
      </w:r>
      <w:r w:rsidR="00635D84" w:rsidRPr="00104369">
        <w:rPr>
          <w:spacing w:val="-4"/>
        </w:rPr>
        <w:t xml:space="preserve">EPS </w:t>
      </w:r>
      <w:r w:rsidR="00635D84">
        <w:rPr>
          <w:spacing w:val="-4"/>
        </w:rPr>
        <w:t xml:space="preserve">per il </w:t>
      </w:r>
      <w:r w:rsidR="00635D84" w:rsidRPr="00104369">
        <w:rPr>
          <w:spacing w:val="-4"/>
        </w:rPr>
        <w:t>2024/2025</w:t>
      </w:r>
      <w:r w:rsidR="00635D84" w:rsidRPr="00635D84">
        <w:rPr>
          <w:spacing w:val="-4"/>
        </w:rPr>
        <w:t xml:space="preserve">; concentrandoci sulla </w:t>
      </w:r>
      <w:r w:rsidR="00635D84">
        <w:rPr>
          <w:spacing w:val="-4"/>
        </w:rPr>
        <w:t xml:space="preserve">nostra </w:t>
      </w:r>
      <w:r w:rsidR="00635D84" w:rsidRPr="00635D84">
        <w:rPr>
          <w:spacing w:val="-4"/>
        </w:rPr>
        <w:t xml:space="preserve">copertura delle mid/small cap, </w:t>
      </w:r>
      <w:r w:rsidR="00635D84">
        <w:rPr>
          <w:spacing w:val="-4"/>
        </w:rPr>
        <w:t xml:space="preserve">invece, </w:t>
      </w:r>
      <w:r w:rsidR="00635D84" w:rsidRPr="00635D84">
        <w:rPr>
          <w:spacing w:val="-4"/>
        </w:rPr>
        <w:t xml:space="preserve">abbiamo modificato </w:t>
      </w:r>
      <w:r w:rsidR="00635D84">
        <w:rPr>
          <w:spacing w:val="-4"/>
        </w:rPr>
        <w:t xml:space="preserve">gli </w:t>
      </w:r>
      <w:r w:rsidR="00635D84" w:rsidRPr="00104369">
        <w:rPr>
          <w:spacing w:val="-4"/>
        </w:rPr>
        <w:t xml:space="preserve">EPS </w:t>
      </w:r>
      <w:r w:rsidR="00635D84">
        <w:rPr>
          <w:spacing w:val="-4"/>
        </w:rPr>
        <w:t xml:space="preserve">per il </w:t>
      </w:r>
      <w:r w:rsidR="00635D84" w:rsidRPr="00104369">
        <w:rPr>
          <w:spacing w:val="-4"/>
        </w:rPr>
        <w:t>2024/2025</w:t>
      </w:r>
      <w:r w:rsidR="00635D84" w:rsidRPr="00635D84">
        <w:rPr>
          <w:spacing w:val="-4"/>
        </w:rPr>
        <w:t xml:space="preserve"> </w:t>
      </w:r>
      <w:r w:rsidR="00635D84">
        <w:rPr>
          <w:spacing w:val="-4"/>
        </w:rPr>
        <w:t>del</w:t>
      </w:r>
      <w:r w:rsidR="00635D84" w:rsidRPr="00635D84">
        <w:rPr>
          <w:spacing w:val="-4"/>
        </w:rPr>
        <w:t xml:space="preserve"> +1,3%/-1,4%. In particolare, nell'ultimo mese la revisione delle stime è stata negativa per le large cap (-1,7%/-1,9% su</w:t>
      </w:r>
      <w:r w:rsidR="0033674B">
        <w:rPr>
          <w:spacing w:val="-4"/>
        </w:rPr>
        <w:t xml:space="preserve">gli </w:t>
      </w:r>
      <w:r w:rsidR="00635D84" w:rsidRPr="00635D84">
        <w:rPr>
          <w:spacing w:val="-4"/>
        </w:rPr>
        <w:t>EPS 2024/2025)</w:t>
      </w:r>
      <w:r w:rsidR="0033674B">
        <w:rPr>
          <w:spacing w:val="-4"/>
        </w:rPr>
        <w:t xml:space="preserve"> e per le </w:t>
      </w:r>
      <w:r w:rsidR="0033674B" w:rsidRPr="00635D84">
        <w:rPr>
          <w:spacing w:val="-4"/>
        </w:rPr>
        <w:t>small cap (-2,3%/-0,9%)</w:t>
      </w:r>
      <w:r w:rsidR="0033674B">
        <w:rPr>
          <w:spacing w:val="-4"/>
        </w:rPr>
        <w:t>, mentre è stata</w:t>
      </w:r>
      <w:r w:rsidR="00635D84" w:rsidRPr="00635D84">
        <w:rPr>
          <w:spacing w:val="-4"/>
        </w:rPr>
        <w:t xml:space="preserve"> neutrale per le mid cap.</w:t>
      </w:r>
    </w:p>
    <w:p w14:paraId="00EF9A01" w14:textId="1EFD9967" w:rsidR="00E900C5" w:rsidRPr="00E900C5" w:rsidRDefault="00E542BA" w:rsidP="00122F82">
      <w:pPr>
        <w:pStyle w:val="Paragrafoelenco"/>
        <w:numPr>
          <w:ilvl w:val="0"/>
          <w:numId w:val="23"/>
        </w:numPr>
        <w:spacing w:line="240" w:lineRule="auto"/>
        <w:ind w:left="426"/>
        <w:jc w:val="both"/>
        <w:rPr>
          <w:rFonts w:ascii="Calibri" w:hAnsi="Calibri" w:cs="Calibri"/>
          <w:b/>
          <w:bCs/>
          <w:color w:val="000000"/>
          <w:spacing w:val="-4"/>
        </w:rPr>
      </w:pPr>
      <w:r w:rsidRPr="006B3FC1">
        <w:rPr>
          <w:b/>
          <w:bCs/>
          <w:spacing w:val="-4"/>
        </w:rPr>
        <w:t xml:space="preserve">Valutazioni </w:t>
      </w:r>
      <w:r w:rsidR="00DC24E2" w:rsidRPr="006B3FC1">
        <w:rPr>
          <w:b/>
          <w:bCs/>
          <w:spacing w:val="-4"/>
        </w:rPr>
        <w:t>(</w:t>
      </w:r>
      <w:r w:rsidR="006E09E7">
        <w:rPr>
          <w:b/>
          <w:bCs/>
          <w:spacing w:val="-4"/>
        </w:rPr>
        <w:t>-</w:t>
      </w:r>
      <w:r w:rsidRPr="006B3FC1">
        <w:rPr>
          <w:b/>
          <w:bCs/>
          <w:spacing w:val="-4"/>
        </w:rPr>
        <w:t>).</w:t>
      </w:r>
      <w:r w:rsidR="00A638D1" w:rsidRPr="008E6A04">
        <w:rPr>
          <w:spacing w:val="-4"/>
        </w:rPr>
        <w:t xml:space="preserve"> </w:t>
      </w:r>
      <w:r w:rsidR="00E900C5" w:rsidRPr="00E900C5">
        <w:rPr>
          <w:spacing w:val="-4"/>
        </w:rPr>
        <w:t xml:space="preserve">Se confrontiamo la performance YtD con la variazione delle stime </w:t>
      </w:r>
      <w:r w:rsidR="00E900C5" w:rsidRPr="008E6A04">
        <w:rPr>
          <w:spacing w:val="-4"/>
        </w:rPr>
        <w:t xml:space="preserve">per l'esercizio ‘24 </w:t>
      </w:r>
      <w:r w:rsidR="00E900C5" w:rsidRPr="00E900C5">
        <w:rPr>
          <w:spacing w:val="-4"/>
        </w:rPr>
        <w:t>nello stesso periodo, vediamo che i titoli del FTSE MIB hanno registrato un re-rating YtD del 14,6% (</w:t>
      </w:r>
      <w:r w:rsidR="00E900C5" w:rsidRPr="008E6A04">
        <w:rPr>
          <w:spacing w:val="-4"/>
        </w:rPr>
        <w:t xml:space="preserve">lo stesso parametro </w:t>
      </w:r>
      <w:r w:rsidR="00E900C5" w:rsidRPr="00101F31">
        <w:rPr>
          <w:spacing w:val="-4"/>
        </w:rPr>
        <w:t xml:space="preserve">era </w:t>
      </w:r>
      <w:r w:rsidR="00E900C5" w:rsidRPr="00E900C5">
        <w:rPr>
          <w:spacing w:val="-4"/>
        </w:rPr>
        <w:t>+14,9% un mese fa)</w:t>
      </w:r>
      <w:r w:rsidR="00E900C5">
        <w:rPr>
          <w:spacing w:val="-4"/>
        </w:rPr>
        <w:t>;</w:t>
      </w:r>
      <w:r w:rsidR="00E900C5" w:rsidRPr="00E900C5">
        <w:rPr>
          <w:spacing w:val="-4"/>
        </w:rPr>
        <w:t xml:space="preserve"> le mid-cap </w:t>
      </w:r>
      <w:r w:rsidR="00E900C5">
        <w:rPr>
          <w:spacing w:val="-4"/>
        </w:rPr>
        <w:t>hanno registrato un</w:t>
      </w:r>
      <w:r w:rsidR="00E900C5" w:rsidRPr="00E900C5">
        <w:rPr>
          <w:spacing w:val="-4"/>
        </w:rPr>
        <w:t xml:space="preserve"> de-rating dello 0,1%, mentre le small-cap si sono </w:t>
      </w:r>
      <w:r w:rsidR="00E900C5">
        <w:rPr>
          <w:spacing w:val="-4"/>
        </w:rPr>
        <w:t>rivalutate</w:t>
      </w:r>
      <w:r w:rsidR="00E900C5" w:rsidRPr="00E900C5">
        <w:rPr>
          <w:spacing w:val="-4"/>
        </w:rPr>
        <w:t xml:space="preserve"> del 21,1%. Su base P/E, il nostro panel è scambiato con un premio del 29% rispetto alle large cap, </w:t>
      </w:r>
      <w:r w:rsidR="00E900C5" w:rsidRPr="008E6A04">
        <w:rPr>
          <w:spacing w:val="-4"/>
        </w:rPr>
        <w:t xml:space="preserve">ben al di sopra del </w:t>
      </w:r>
      <w:r w:rsidR="00E900C5" w:rsidRPr="00101F31">
        <w:rPr>
          <w:spacing w:val="-4"/>
        </w:rPr>
        <w:t xml:space="preserve">premio medio storico </w:t>
      </w:r>
      <w:r w:rsidR="00E900C5" w:rsidRPr="00E900C5">
        <w:rPr>
          <w:spacing w:val="-4"/>
        </w:rPr>
        <w:t xml:space="preserve">(17%) e leggermente </w:t>
      </w:r>
      <w:r w:rsidR="00E900C5" w:rsidRPr="00262716">
        <w:rPr>
          <w:spacing w:val="-4"/>
        </w:rPr>
        <w:t>superiore</w:t>
      </w:r>
      <w:r w:rsidR="00E900C5" w:rsidRPr="00E900C5">
        <w:rPr>
          <w:spacing w:val="-4"/>
        </w:rPr>
        <w:t xml:space="preserve"> al livello di un mese fa (26%).</w:t>
      </w:r>
      <w:r w:rsidR="00E900C5">
        <w:rPr>
          <w:spacing w:val="-4"/>
        </w:rPr>
        <w:t xml:space="preserve"> </w:t>
      </w:r>
    </w:p>
    <w:p w14:paraId="0DA1F891" w14:textId="7A420D1E" w:rsidR="00E900C5" w:rsidRPr="00E900C5" w:rsidRDefault="008104DC" w:rsidP="00F726AD">
      <w:pPr>
        <w:pStyle w:val="Paragrafoelenco"/>
        <w:numPr>
          <w:ilvl w:val="0"/>
          <w:numId w:val="23"/>
        </w:numPr>
        <w:spacing w:after="0" w:line="240" w:lineRule="auto"/>
        <w:ind w:left="426"/>
        <w:jc w:val="both"/>
        <w:rPr>
          <w:rFonts w:ascii="Calibri" w:hAnsi="Calibri" w:cs="Calibri"/>
          <w:color w:val="000000"/>
          <w:spacing w:val="-4"/>
        </w:rPr>
      </w:pPr>
      <w:r w:rsidRPr="00B26CA8">
        <w:rPr>
          <w:b/>
          <w:bCs/>
          <w:spacing w:val="-4"/>
        </w:rPr>
        <w:t>Liquidità (</w:t>
      </w:r>
      <w:r w:rsidR="006E09E7">
        <w:rPr>
          <w:b/>
          <w:bCs/>
          <w:spacing w:val="-4"/>
        </w:rPr>
        <w:t>=</w:t>
      </w:r>
      <w:r w:rsidRPr="00B26CA8">
        <w:rPr>
          <w:b/>
          <w:bCs/>
          <w:spacing w:val="-4"/>
        </w:rPr>
        <w:t>).</w:t>
      </w:r>
      <w:r w:rsidR="00FD5113" w:rsidRPr="00B26CA8">
        <w:rPr>
          <w:b/>
          <w:bCs/>
          <w:spacing w:val="-4"/>
        </w:rPr>
        <w:t xml:space="preserve"> </w:t>
      </w:r>
      <w:r w:rsidR="00E900C5" w:rsidRPr="004F0BBA">
        <w:rPr>
          <w:spacing w:val="-4"/>
        </w:rPr>
        <w:t xml:space="preserve">Osservando l'andamento degli indici ufficiali italiani, notiamo che la liquidità delle large cap nell'ultimo mese (misurata moltiplicando i volumi medi per i prezzi medi in un determinato periodo) è inferiore del 2,3% rispetto allo stesso periodo di un anno fa ed è in aumento del 16,6% su base annua. Il quadro è simile per le mid/small cap: nello specifico, la liquidità </w:t>
      </w:r>
      <w:r w:rsidR="004F0BBA" w:rsidRPr="004F0BBA">
        <w:rPr>
          <w:spacing w:val="-4"/>
        </w:rPr>
        <w:t xml:space="preserve">per le mid cap è aumentata del </w:t>
      </w:r>
      <w:r w:rsidR="00E900C5" w:rsidRPr="004F0BBA">
        <w:rPr>
          <w:spacing w:val="-4"/>
        </w:rPr>
        <w:t>17,5% su base annua</w:t>
      </w:r>
      <w:r w:rsidR="004F0BBA" w:rsidRPr="004F0BBA">
        <w:rPr>
          <w:spacing w:val="-4"/>
        </w:rPr>
        <w:t xml:space="preserve">, mentre per le small cap è in aumento del </w:t>
      </w:r>
      <w:r w:rsidR="00E900C5" w:rsidRPr="004F0BBA">
        <w:rPr>
          <w:spacing w:val="-4"/>
        </w:rPr>
        <w:t xml:space="preserve">23,0% </w:t>
      </w:r>
      <w:r w:rsidR="004F0BBA" w:rsidRPr="004F0BBA">
        <w:rPr>
          <w:spacing w:val="-4"/>
        </w:rPr>
        <w:t>su base annua</w:t>
      </w:r>
      <w:r w:rsidR="00E900C5" w:rsidRPr="004F0BBA">
        <w:rPr>
          <w:spacing w:val="-4"/>
        </w:rPr>
        <w:t>. In particolare, la liquidità è diminuita nell'ultimo mese, specialmente per le small cap.</w:t>
      </w:r>
      <w:r w:rsidR="00E900C5">
        <w:rPr>
          <w:b/>
          <w:bCs/>
          <w:spacing w:val="-4"/>
        </w:rPr>
        <w:t xml:space="preserve">  </w:t>
      </w:r>
    </w:p>
    <w:p w14:paraId="1338DD99" w14:textId="0C5BFC8D" w:rsidR="008E6A04" w:rsidRDefault="0098513F" w:rsidP="00E7596F">
      <w:pPr>
        <w:pStyle w:val="Paragrafoelenco"/>
        <w:numPr>
          <w:ilvl w:val="0"/>
          <w:numId w:val="23"/>
        </w:numPr>
        <w:spacing w:line="240" w:lineRule="auto"/>
        <w:ind w:left="426"/>
        <w:jc w:val="both"/>
        <w:rPr>
          <w:spacing w:val="-4"/>
        </w:rPr>
      </w:pPr>
      <w:r w:rsidRPr="004F0BBA">
        <w:rPr>
          <w:b/>
          <w:bCs/>
          <w:spacing w:val="-4"/>
        </w:rPr>
        <w:t>S</w:t>
      </w:r>
      <w:r w:rsidR="00DA424B" w:rsidRPr="004F0BBA">
        <w:rPr>
          <w:b/>
          <w:bCs/>
          <w:spacing w:val="-4"/>
        </w:rPr>
        <w:t>trategia d’investimento.</w:t>
      </w:r>
      <w:r w:rsidR="00DA424B" w:rsidRPr="004F0BBA">
        <w:rPr>
          <w:spacing w:val="-4"/>
        </w:rPr>
        <w:t xml:space="preserve"> </w:t>
      </w:r>
      <w:r w:rsidR="00074CE9">
        <w:rPr>
          <w:spacing w:val="-4"/>
        </w:rPr>
        <w:t>Q</w:t>
      </w:r>
      <w:r w:rsidR="004F0BBA" w:rsidRPr="00262716">
        <w:rPr>
          <w:spacing w:val="-4"/>
        </w:rPr>
        <w:t xml:space="preserve">uesta settimana, </w:t>
      </w:r>
      <w:r w:rsidR="00074CE9">
        <w:rPr>
          <w:spacing w:val="-4"/>
        </w:rPr>
        <w:t xml:space="preserve">la Federal Reserve ha effettuato il </w:t>
      </w:r>
      <w:r w:rsidR="004F0BBA" w:rsidRPr="00262716">
        <w:rPr>
          <w:spacing w:val="-4"/>
        </w:rPr>
        <w:t xml:space="preserve">primo taglio dei tassi d’interesse di riferimento </w:t>
      </w:r>
      <w:r w:rsidR="00074CE9">
        <w:rPr>
          <w:spacing w:val="-4"/>
        </w:rPr>
        <w:t>d</w:t>
      </w:r>
      <w:r w:rsidR="004F0BBA" w:rsidRPr="00262716">
        <w:rPr>
          <w:spacing w:val="-4"/>
        </w:rPr>
        <w:t>el post-pandemia.</w:t>
      </w:r>
      <w:r w:rsidR="004F0BBA">
        <w:rPr>
          <w:spacing w:val="-4"/>
        </w:rPr>
        <w:t xml:space="preserve"> Sul fronte europeo, sebbene la BCE sembri indirizzata verso un percorso </w:t>
      </w:r>
      <w:r w:rsidR="004F0BBA" w:rsidRPr="004F0BBA">
        <w:rPr>
          <w:spacing w:val="-4"/>
        </w:rPr>
        <w:t>di taglio dei tassi più graduale</w:t>
      </w:r>
      <w:r w:rsidR="004F0BBA">
        <w:rPr>
          <w:spacing w:val="-4"/>
        </w:rPr>
        <w:t xml:space="preserve">, le prospettive per il secondo semestre dell’anno appaiono favorevoli </w:t>
      </w:r>
      <w:r w:rsidR="004F0BBA" w:rsidRPr="004F0BBA">
        <w:rPr>
          <w:spacing w:val="-4"/>
        </w:rPr>
        <w:t>per le mid/small cap</w:t>
      </w:r>
      <w:r w:rsidR="004F0BBA">
        <w:rPr>
          <w:spacing w:val="-4"/>
        </w:rPr>
        <w:t xml:space="preserve">, che sono un proxy per i titoli </w:t>
      </w:r>
      <w:r w:rsidR="004F0BBA" w:rsidRPr="004F0BBA">
        <w:rPr>
          <w:spacing w:val="-4"/>
        </w:rPr>
        <w:t>growth</w:t>
      </w:r>
      <w:r w:rsidR="004F0BBA">
        <w:rPr>
          <w:spacing w:val="-4"/>
        </w:rPr>
        <w:t xml:space="preserve"> in Italia. </w:t>
      </w:r>
      <w:r w:rsidR="00C96BFE">
        <w:rPr>
          <w:spacing w:val="-4"/>
        </w:rPr>
        <w:t xml:space="preserve">Tuttavia, il peggioramento dei dati macro e </w:t>
      </w:r>
      <w:r w:rsidR="00C96BFE" w:rsidRPr="00C96BFE">
        <w:rPr>
          <w:spacing w:val="-4"/>
        </w:rPr>
        <w:t>le forti tensioni geopolitiche aumentano il rischio</w:t>
      </w:r>
      <w:r w:rsidR="00C96BFE">
        <w:rPr>
          <w:spacing w:val="-4"/>
        </w:rPr>
        <w:t xml:space="preserve"> di stime deludenti, suggerendo un approccio di investimento selettivo. </w:t>
      </w:r>
      <w:r w:rsidR="00C96BFE" w:rsidRPr="009B44CE">
        <w:rPr>
          <w:spacing w:val="-4"/>
        </w:rPr>
        <w:t xml:space="preserve">In questo </w:t>
      </w:r>
      <w:r w:rsidR="00C96BFE">
        <w:rPr>
          <w:spacing w:val="-4"/>
        </w:rPr>
        <w:t>contesto</w:t>
      </w:r>
      <w:r w:rsidR="00C96BFE" w:rsidRPr="009B44CE">
        <w:rPr>
          <w:spacing w:val="-4"/>
        </w:rPr>
        <w:t xml:space="preserve">, confermiamo la nostra preferenza per i titoli con una buona generazione di cassa ed esposizione a </w:t>
      </w:r>
      <w:proofErr w:type="gramStart"/>
      <w:r w:rsidR="00C96BFE" w:rsidRPr="009B44CE">
        <w:rPr>
          <w:spacing w:val="-4"/>
        </w:rPr>
        <w:t>solidi trend internazionali</w:t>
      </w:r>
      <w:proofErr w:type="gramEnd"/>
      <w:r w:rsidR="00C96BFE" w:rsidRPr="009B44CE">
        <w:rPr>
          <w:spacing w:val="-4"/>
        </w:rPr>
        <w:t xml:space="preserve">. Ancora una volta, pensiamo che il sottogruppo </w:t>
      </w:r>
      <w:r w:rsidR="00C96BFE">
        <w:rPr>
          <w:spacing w:val="-4"/>
        </w:rPr>
        <w:t>degli</w:t>
      </w:r>
      <w:r w:rsidR="00C96BFE" w:rsidRPr="009B44CE">
        <w:rPr>
          <w:spacing w:val="-4"/>
        </w:rPr>
        <w:t xml:space="preserve"> "abilitatori digitali" potrebbe beneficiare di prospettive piuttosto resilienti, così come altri nomi di "qualità".</w:t>
      </w:r>
      <w:r w:rsidR="00446D34">
        <w:rPr>
          <w:spacing w:val="-4"/>
        </w:rPr>
        <w:t xml:space="preserve"> </w:t>
      </w:r>
      <w:r w:rsidR="00446D34" w:rsidRPr="00446D34">
        <w:rPr>
          <w:spacing w:val="-4"/>
        </w:rPr>
        <w:t>I risultati del terzo trimestre dovrebbero fornire un flusso di notizie rilevante</w:t>
      </w:r>
      <w:r w:rsidR="00446D34">
        <w:rPr>
          <w:spacing w:val="-4"/>
        </w:rPr>
        <w:t xml:space="preserve">, mentre la </w:t>
      </w:r>
      <w:r w:rsidR="00446D34">
        <w:rPr>
          <w:spacing w:val="-4"/>
        </w:rPr>
        <w:lastRenderedPageBreak/>
        <w:t xml:space="preserve">liquidità, che sta mostrando segnali di stabilizzazione, resta un altro importante fattore di selezione. </w:t>
      </w:r>
      <w:r w:rsidR="00446D34" w:rsidRPr="00446D34">
        <w:rPr>
          <w:spacing w:val="-4"/>
        </w:rPr>
        <w:t>Sebbene continuino gli annunci di delisting, riteniamo che il calo dei rendimenti possa innescare una ripresa delle acquisizioni e delle IPO, il che sarebbe una notizia molto gradita per il segmento delle mid/small cap.</w:t>
      </w:r>
      <w:r w:rsidR="00446D34">
        <w:rPr>
          <w:spacing w:val="-4"/>
        </w:rPr>
        <w:t xml:space="preserve"> </w:t>
      </w:r>
      <w:r w:rsidR="00446D34" w:rsidRPr="009B44CE">
        <w:rPr>
          <w:spacing w:val="-4"/>
        </w:rPr>
        <w:t xml:space="preserve">Come abbiamo già commentato, l'avvio di un fondo sponsorizzato dalla banca di sviluppo italiana CDP </w:t>
      </w:r>
      <w:r w:rsidR="00446D34">
        <w:rPr>
          <w:spacing w:val="-4"/>
        </w:rPr>
        <w:t>(</w:t>
      </w:r>
      <w:r w:rsidR="00446D34" w:rsidRPr="00446D34">
        <w:rPr>
          <w:spacing w:val="-4"/>
        </w:rPr>
        <w:t xml:space="preserve">il progetto sarà presentato il 30 settembre alla Borsa di Milano) </w:t>
      </w:r>
      <w:r w:rsidR="00446D34" w:rsidRPr="009B44CE">
        <w:rPr>
          <w:spacing w:val="-4"/>
        </w:rPr>
        <w:t>potrebbe essere un catalyst significativo per le mid/small cap italiane.</w:t>
      </w:r>
      <w:r w:rsidR="00C576FC">
        <w:rPr>
          <w:spacing w:val="-4"/>
        </w:rPr>
        <w:t xml:space="preserve"> </w:t>
      </w:r>
      <w:r w:rsidR="00C576FC" w:rsidRPr="009B44CE">
        <w:rPr>
          <w:spacing w:val="-4"/>
        </w:rPr>
        <w:t>Il fondo avrebbe circa 1 miliardo di euro di finanziamenti iniziali, il 49% da CDP e il 51% da investitori privati, tra cui fondi pensione, assicuratori e società di gestione patrimoniale.</w:t>
      </w:r>
    </w:p>
    <w:p w14:paraId="64E6E09A" w14:textId="77777777" w:rsidR="004F0BBA" w:rsidRDefault="004F0BBA" w:rsidP="004F0BBA">
      <w:pPr>
        <w:spacing w:line="240" w:lineRule="auto"/>
        <w:jc w:val="both"/>
        <w:rPr>
          <w:spacing w:val="-4"/>
        </w:rPr>
      </w:pPr>
    </w:p>
    <w:p w14:paraId="6312B759" w14:textId="7862A76B" w:rsidR="004F0BBA" w:rsidRDefault="0064613E" w:rsidP="004F0BBA">
      <w:pPr>
        <w:spacing w:line="240" w:lineRule="auto"/>
        <w:jc w:val="both"/>
        <w:rPr>
          <w:spacing w:val="-4"/>
        </w:rPr>
      </w:pPr>
      <w:r>
        <w:rPr>
          <w:spacing w:val="-4"/>
        </w:rPr>
        <w:t xml:space="preserve"> </w:t>
      </w:r>
    </w:p>
    <w:p w14:paraId="7DBF6368" w14:textId="77777777" w:rsidR="004F0BBA" w:rsidRDefault="004F0BBA" w:rsidP="004F0BBA">
      <w:pPr>
        <w:spacing w:line="240" w:lineRule="auto"/>
        <w:jc w:val="both"/>
        <w:rPr>
          <w:spacing w:val="-4"/>
        </w:rPr>
      </w:pPr>
    </w:p>
    <w:p w14:paraId="100CA0C1" w14:textId="28F099D2" w:rsidR="00E975A1" w:rsidRPr="00081AA3" w:rsidRDefault="00E975A1" w:rsidP="00081AA3">
      <w:pPr>
        <w:pStyle w:val="Bullets"/>
        <w:numPr>
          <w:ilvl w:val="0"/>
          <w:numId w:val="0"/>
        </w:numPr>
        <w:spacing w:after="0" w:line="240" w:lineRule="auto"/>
        <w:ind w:left="230" w:right="-1" w:hanging="230"/>
        <w:rPr>
          <w:b/>
          <w:bCs/>
          <w:i/>
          <w:iCs/>
          <w:sz w:val="16"/>
          <w:szCs w:val="16"/>
          <w:u w:val="single"/>
        </w:rPr>
      </w:pPr>
    </w:p>
    <w:p w14:paraId="437CFF90" w14:textId="7F5236C8" w:rsidR="00360764" w:rsidRPr="004A3992" w:rsidRDefault="00360764" w:rsidP="00360764">
      <w:pPr>
        <w:spacing w:after="0" w:line="240" w:lineRule="auto"/>
        <w:ind w:right="-1"/>
        <w:jc w:val="both"/>
        <w:rPr>
          <w:rFonts w:ascii="Calibri" w:hAnsi="Calibri" w:cs="Calibri"/>
          <w:b/>
          <w:bCs/>
          <w:i/>
          <w:iCs/>
          <w:spacing w:val="-2"/>
          <w:sz w:val="16"/>
          <w:szCs w:val="16"/>
          <w:u w:val="single"/>
        </w:rPr>
      </w:pPr>
      <w:r w:rsidRPr="004A3992">
        <w:rPr>
          <w:rFonts w:ascii="Calibri" w:hAnsi="Calibri" w:cs="Calibri"/>
          <w:b/>
          <w:bCs/>
          <w:i/>
          <w:iCs/>
          <w:spacing w:val="-2"/>
          <w:sz w:val="16"/>
          <w:szCs w:val="16"/>
          <w:u w:val="single"/>
        </w:rPr>
        <w:t xml:space="preserve">INTERMONTE </w:t>
      </w:r>
    </w:p>
    <w:p w14:paraId="2D651460" w14:textId="77777777" w:rsidR="00360764" w:rsidRPr="004A3992" w:rsidRDefault="00360764" w:rsidP="00360764">
      <w:pPr>
        <w:spacing w:after="0"/>
        <w:jc w:val="both"/>
        <w:rPr>
          <w:rFonts w:eastAsia="Calibri" w:cstheme="minorHAnsi"/>
          <w:color w:val="000000"/>
          <w:sz w:val="16"/>
          <w:szCs w:val="16"/>
        </w:rPr>
      </w:pPr>
      <w:r w:rsidRPr="0059183B">
        <w:rPr>
          <w:rFonts w:eastAsia="Calibri" w:cstheme="minorHAnsi"/>
          <w:color w:val="000000"/>
          <w:sz w:val="16"/>
          <w:szCs w:val="16"/>
        </w:rPr>
        <w:t>Intermonte è una Investment bank indipendente leader in Italia e punto di riferimento per gli investitori istituzionali italiani e internazionali nel segmento delle mid &amp; small caps. Quotata sul mercato Euronext Growth Milan di Borsa Italiana, presenta un modello di business diversificato su quattro linee di attività, “Investment Banking”, “Sales &amp; Trading”, Global Markets” e “Digital Division &amp; Advisory”. L’Investment Banking offre servizi rivolti a imprese quotate e non quotate in operazioni straordinarie, incluse operazioni di Equity Capital Markets, M&amp;A e Debt Capital Markets. Le divisioni Sales &amp; Trading e Global Markets supportano le decisioni di oltre 650 investitori istituzionali italiani ed esteri grazie a una ricerca di alto standing di più di 50 operatori professionali specializzati nelle varie asset class, azioni, obbligazioni, derivati, ETF, valute e commodities. L’ufficio studi figura costantemente ai vertici delle classifiche internazionali per qualità della ricerca e offre la più ampia copertura del mercato azionario italiano sulla base di un’elevata specializzazione settoriale. La divisione “Digital Division &amp; Advisory” attraverso Websim è attiva nella consulenza agli investimenti nei confronti di investitori non istituzionali, consulenti finanziari e private banker e PMI.</w:t>
      </w:r>
    </w:p>
    <w:p w14:paraId="19CB7148" w14:textId="77777777" w:rsidR="00360764" w:rsidRPr="004A3992" w:rsidRDefault="00360764" w:rsidP="00360764">
      <w:pPr>
        <w:spacing w:after="0"/>
        <w:jc w:val="both"/>
        <w:rPr>
          <w:rFonts w:eastAsia="Calibri" w:cstheme="minorHAnsi"/>
          <w:color w:val="000000"/>
          <w:sz w:val="16"/>
          <w:szCs w:val="16"/>
        </w:rPr>
      </w:pPr>
    </w:p>
    <w:p w14:paraId="2CC598CC" w14:textId="77777777" w:rsidR="00360764" w:rsidRPr="004A3992" w:rsidRDefault="00360764" w:rsidP="00360764">
      <w:pPr>
        <w:pStyle w:val="Paragrafoelenco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 xml:space="preserve">Contatti per la stampa: </w:t>
      </w:r>
    </w:p>
    <w:p w14:paraId="33838215" w14:textId="77777777" w:rsidR="00360764" w:rsidRPr="004A3992" w:rsidRDefault="00360764" w:rsidP="00360764">
      <w:pPr>
        <w:pStyle w:val="Paragrafoelenco"/>
        <w:spacing w:after="0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>BC Communication</w:t>
      </w:r>
    </w:p>
    <w:p w14:paraId="57222D67" w14:textId="77777777" w:rsidR="00360764" w:rsidRPr="004A3992" w:rsidRDefault="00360764" w:rsidP="00360764">
      <w:pPr>
        <w:pStyle w:val="Paragrafoelenco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 xml:space="preserve">Beatrice Cagnoni </w:t>
      </w:r>
      <w:r w:rsidRPr="004A3992">
        <w:rPr>
          <w:rFonts w:ascii="Calibri Light" w:hAnsi="Calibri Light" w:cs="Calibri Light"/>
          <w:bCs/>
          <w:i/>
          <w:sz w:val="16"/>
          <w:szCs w:val="16"/>
        </w:rPr>
        <w:t xml:space="preserve">– </w:t>
      </w:r>
      <w:hyperlink r:id="rId8" w:history="1">
        <w:r w:rsidRPr="004A3992">
          <w:rPr>
            <w:rStyle w:val="Collegamentoipertestuale"/>
            <w:rFonts w:ascii="Calibri Light" w:hAnsi="Calibri Light" w:cs="Calibri Light"/>
            <w:i/>
            <w:sz w:val="16"/>
            <w:szCs w:val="16"/>
          </w:rPr>
          <w:t>beatrice.cagnoni@bc-communication.it</w:t>
        </w:r>
      </w:hyperlink>
      <w:r w:rsidRPr="004A3992">
        <w:rPr>
          <w:rStyle w:val="Collegamentoipertestuale"/>
          <w:rFonts w:ascii="Calibri Light" w:hAnsi="Calibri Light" w:cs="Calibri Light"/>
          <w:i/>
          <w:sz w:val="16"/>
          <w:szCs w:val="16"/>
        </w:rPr>
        <w:t xml:space="preserve"> </w:t>
      </w:r>
      <w:r w:rsidRPr="004A3992">
        <w:rPr>
          <w:rFonts w:ascii="Calibri Light" w:hAnsi="Calibri Light" w:cs="Calibri Light"/>
          <w:bCs/>
          <w:i/>
          <w:sz w:val="16"/>
          <w:szCs w:val="16"/>
        </w:rPr>
        <w:t xml:space="preserve">– </w:t>
      </w:r>
      <w:r w:rsidRPr="004A3992">
        <w:rPr>
          <w:rFonts w:ascii="Calibri Light" w:hAnsi="Calibri Light" w:cs="Calibri Light"/>
          <w:b/>
          <w:i/>
          <w:sz w:val="16"/>
          <w:szCs w:val="16"/>
        </w:rPr>
        <w:t>+39 335 5635111</w:t>
      </w:r>
    </w:p>
    <w:p w14:paraId="5534B716" w14:textId="77777777" w:rsidR="00360764" w:rsidRPr="004A3992" w:rsidRDefault="00360764" w:rsidP="00360764">
      <w:pPr>
        <w:pStyle w:val="Paragrafoelenco"/>
        <w:ind w:left="0"/>
        <w:jc w:val="both"/>
        <w:rPr>
          <w:rFonts w:ascii="Calibri Light" w:hAnsi="Calibri Light" w:cs="Calibri Light"/>
          <w:b/>
          <w:i/>
          <w:sz w:val="16"/>
          <w:szCs w:val="16"/>
        </w:rPr>
      </w:pPr>
      <w:r w:rsidRPr="004A3992">
        <w:rPr>
          <w:rFonts w:ascii="Calibri Light" w:hAnsi="Calibri Light" w:cs="Calibri Light"/>
          <w:b/>
          <w:i/>
          <w:sz w:val="16"/>
          <w:szCs w:val="16"/>
        </w:rPr>
        <w:t>Giulia Franzoni</w:t>
      </w:r>
      <w:r w:rsidRPr="004A3992">
        <w:rPr>
          <w:b/>
          <w:i/>
          <w:color w:val="000000"/>
          <w:sz w:val="16"/>
          <w:szCs w:val="16"/>
        </w:rPr>
        <w:t xml:space="preserve"> </w:t>
      </w:r>
      <w:r w:rsidRPr="004A3992">
        <w:rPr>
          <w:i/>
          <w:color w:val="000000"/>
          <w:sz w:val="16"/>
          <w:szCs w:val="16"/>
        </w:rPr>
        <w:t xml:space="preserve">| </w:t>
      </w:r>
      <w:r w:rsidRPr="004A3992">
        <w:rPr>
          <w:rStyle w:val="Collegamentoipertestuale"/>
          <w:rFonts w:ascii="Calibri Light" w:hAnsi="Calibri Light" w:cs="Calibri Light"/>
          <w:bCs/>
          <w:i/>
          <w:iCs/>
          <w:sz w:val="16"/>
          <w:szCs w:val="16"/>
        </w:rPr>
        <w:t>giulia.franzoni@bc-communication.it</w:t>
      </w:r>
      <w:r w:rsidRPr="004A3992">
        <w:rPr>
          <w:i/>
          <w:color w:val="000000"/>
          <w:sz w:val="16"/>
          <w:szCs w:val="16"/>
        </w:rPr>
        <w:t xml:space="preserve"> | </w:t>
      </w:r>
      <w:r w:rsidRPr="004A3992">
        <w:rPr>
          <w:rFonts w:ascii="Calibri Light" w:hAnsi="Calibri Light" w:cs="Calibri Light"/>
          <w:b/>
          <w:i/>
          <w:sz w:val="16"/>
          <w:szCs w:val="16"/>
        </w:rPr>
        <w:t>+39 334 3337756</w:t>
      </w:r>
    </w:p>
    <w:p w14:paraId="599E9A43" w14:textId="069AA1BA" w:rsidR="007920F2" w:rsidRPr="00C57CBE" w:rsidRDefault="007920F2" w:rsidP="00E5199B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</w:p>
    <w:p w14:paraId="6A551DD1" w14:textId="7C7E7655" w:rsidR="007920F2" w:rsidRPr="00C57CBE" w:rsidRDefault="007920F2" w:rsidP="007920F2">
      <w:pPr>
        <w:pStyle w:val="Paragrafoelenco"/>
        <w:ind w:left="0"/>
        <w:jc w:val="both"/>
        <w:rPr>
          <w:rFonts w:cstheme="minorHAnsi"/>
          <w:b/>
          <w:i/>
          <w:sz w:val="20"/>
          <w:szCs w:val="20"/>
        </w:rPr>
      </w:pPr>
    </w:p>
    <w:sectPr w:rsidR="007920F2" w:rsidRPr="00C57CBE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80718" w14:textId="77777777" w:rsidR="00351466" w:rsidRDefault="00351466">
      <w:pPr>
        <w:spacing w:after="0" w:line="240" w:lineRule="auto"/>
      </w:pPr>
      <w:r>
        <w:separator/>
      </w:r>
    </w:p>
  </w:endnote>
  <w:endnote w:type="continuationSeparator" w:id="0">
    <w:p w14:paraId="2AA068F0" w14:textId="77777777" w:rsidR="00351466" w:rsidRDefault="00351466">
      <w:pPr>
        <w:spacing w:after="0" w:line="240" w:lineRule="auto"/>
      </w:pPr>
      <w:r>
        <w:continuationSeparator/>
      </w:r>
    </w:p>
  </w:endnote>
  <w:endnote w:type="continuationNotice" w:id="1">
    <w:p w14:paraId="35A688F1" w14:textId="77777777" w:rsidR="00351466" w:rsidRDefault="003514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5377271"/>
      <w:docPartObj>
        <w:docPartGallery w:val="Page Numbers (Bottom of Page)"/>
        <w:docPartUnique/>
      </w:docPartObj>
    </w:sdtPr>
    <w:sdtContent>
      <w:p w14:paraId="1F0B891D" w14:textId="77777777" w:rsidR="00631C43" w:rsidRDefault="001B3CF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7EE76" w14:textId="77777777" w:rsidR="00631C43" w:rsidRDefault="00631C4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F8B42" w14:textId="77777777" w:rsidR="00351466" w:rsidRDefault="00351466">
      <w:pPr>
        <w:spacing w:after="0" w:line="240" w:lineRule="auto"/>
      </w:pPr>
      <w:r>
        <w:separator/>
      </w:r>
    </w:p>
  </w:footnote>
  <w:footnote w:type="continuationSeparator" w:id="0">
    <w:p w14:paraId="36270985" w14:textId="77777777" w:rsidR="00351466" w:rsidRDefault="00351466">
      <w:pPr>
        <w:spacing w:after="0" w:line="240" w:lineRule="auto"/>
      </w:pPr>
      <w:r>
        <w:continuationSeparator/>
      </w:r>
    </w:p>
  </w:footnote>
  <w:footnote w:type="continuationNotice" w:id="1">
    <w:p w14:paraId="609D6D36" w14:textId="77777777" w:rsidR="00351466" w:rsidRDefault="003514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1E748" w14:textId="77777777" w:rsidR="00022319" w:rsidRDefault="00022319" w:rsidP="00B85C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A8B"/>
    <w:multiLevelType w:val="multilevel"/>
    <w:tmpl w:val="8B32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C5D3C"/>
    <w:multiLevelType w:val="hybridMultilevel"/>
    <w:tmpl w:val="AE5C6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7364D5"/>
    <w:multiLevelType w:val="hybridMultilevel"/>
    <w:tmpl w:val="3538F5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31F6D"/>
    <w:multiLevelType w:val="hybridMultilevel"/>
    <w:tmpl w:val="9BC455F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D251DB"/>
    <w:multiLevelType w:val="hybridMultilevel"/>
    <w:tmpl w:val="BEBE1DE8"/>
    <w:lvl w:ilvl="0" w:tplc="C884F36A">
      <w:start w:val="1"/>
      <w:numFmt w:val="bullet"/>
      <w:pStyle w:val="Bullets"/>
      <w:lvlText w:val="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999999"/>
        <w:spacing w:val="0"/>
        <w:kern w:val="0"/>
        <w:position w:val="0"/>
        <w:sz w:val="19"/>
        <w:szCs w:val="19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AECC2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671D9"/>
    <w:multiLevelType w:val="hybridMultilevel"/>
    <w:tmpl w:val="955C9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9025B"/>
    <w:multiLevelType w:val="hybridMultilevel"/>
    <w:tmpl w:val="677A21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261EEF"/>
    <w:multiLevelType w:val="hybridMultilevel"/>
    <w:tmpl w:val="E36087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E68E5"/>
    <w:multiLevelType w:val="hybridMultilevel"/>
    <w:tmpl w:val="182E1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115A60"/>
    <w:multiLevelType w:val="hybridMultilevel"/>
    <w:tmpl w:val="985C6A4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E5D64"/>
    <w:multiLevelType w:val="hybridMultilevel"/>
    <w:tmpl w:val="7870B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C5A77"/>
    <w:multiLevelType w:val="hybridMultilevel"/>
    <w:tmpl w:val="7D50FE3E"/>
    <w:lvl w:ilvl="0" w:tplc="148CBA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05986"/>
    <w:multiLevelType w:val="hybridMultilevel"/>
    <w:tmpl w:val="8A101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284E"/>
    <w:multiLevelType w:val="hybridMultilevel"/>
    <w:tmpl w:val="0A7A4A3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8D05334"/>
    <w:multiLevelType w:val="hybridMultilevel"/>
    <w:tmpl w:val="8728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C7476"/>
    <w:multiLevelType w:val="hybridMultilevel"/>
    <w:tmpl w:val="91FA8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230B3"/>
    <w:multiLevelType w:val="hybridMultilevel"/>
    <w:tmpl w:val="4A702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065B4"/>
    <w:multiLevelType w:val="hybridMultilevel"/>
    <w:tmpl w:val="EA20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F2F66"/>
    <w:multiLevelType w:val="hybridMultilevel"/>
    <w:tmpl w:val="9EA6B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23C0E"/>
    <w:multiLevelType w:val="hybridMultilevel"/>
    <w:tmpl w:val="B1F460EC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154B6"/>
    <w:multiLevelType w:val="hybridMultilevel"/>
    <w:tmpl w:val="4456E5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C2536A"/>
    <w:multiLevelType w:val="hybridMultilevel"/>
    <w:tmpl w:val="C2805C1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0C40B9"/>
    <w:multiLevelType w:val="hybridMultilevel"/>
    <w:tmpl w:val="275A27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A04E2"/>
    <w:multiLevelType w:val="hybridMultilevel"/>
    <w:tmpl w:val="EA64A498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E5692"/>
    <w:multiLevelType w:val="hybridMultilevel"/>
    <w:tmpl w:val="4F68C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38E5"/>
    <w:multiLevelType w:val="hybridMultilevel"/>
    <w:tmpl w:val="FAEE2E72"/>
    <w:lvl w:ilvl="0" w:tplc="E0968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E6E62"/>
    <w:multiLevelType w:val="hybridMultilevel"/>
    <w:tmpl w:val="0AD628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676390">
    <w:abstractNumId w:val="11"/>
  </w:num>
  <w:num w:numId="2" w16cid:durableId="1137602706">
    <w:abstractNumId w:val="2"/>
  </w:num>
  <w:num w:numId="3" w16cid:durableId="1481918223">
    <w:abstractNumId w:val="21"/>
  </w:num>
  <w:num w:numId="4" w16cid:durableId="136192562">
    <w:abstractNumId w:val="20"/>
  </w:num>
  <w:num w:numId="5" w16cid:durableId="770200441">
    <w:abstractNumId w:val="26"/>
  </w:num>
  <w:num w:numId="6" w16cid:durableId="1030649971">
    <w:abstractNumId w:val="3"/>
  </w:num>
  <w:num w:numId="7" w16cid:durableId="429745017">
    <w:abstractNumId w:val="18"/>
  </w:num>
  <w:num w:numId="8" w16cid:durableId="827480080">
    <w:abstractNumId w:val="9"/>
  </w:num>
  <w:num w:numId="9" w16cid:durableId="244609539">
    <w:abstractNumId w:val="10"/>
  </w:num>
  <w:num w:numId="10" w16cid:durableId="786853252">
    <w:abstractNumId w:val="12"/>
  </w:num>
  <w:num w:numId="11" w16cid:durableId="2062945117">
    <w:abstractNumId w:val="4"/>
  </w:num>
  <w:num w:numId="12" w16cid:durableId="1823810398">
    <w:abstractNumId w:val="8"/>
  </w:num>
  <w:num w:numId="13" w16cid:durableId="1699693606">
    <w:abstractNumId w:val="7"/>
  </w:num>
  <w:num w:numId="14" w16cid:durableId="270865012">
    <w:abstractNumId w:val="1"/>
  </w:num>
  <w:num w:numId="15" w16cid:durableId="409739443">
    <w:abstractNumId w:val="22"/>
  </w:num>
  <w:num w:numId="16" w16cid:durableId="1364476437">
    <w:abstractNumId w:val="17"/>
  </w:num>
  <w:num w:numId="17" w16cid:durableId="1999381717">
    <w:abstractNumId w:val="15"/>
  </w:num>
  <w:num w:numId="18" w16cid:durableId="88740832">
    <w:abstractNumId w:val="6"/>
  </w:num>
  <w:num w:numId="19" w16cid:durableId="1729182094">
    <w:abstractNumId w:val="5"/>
  </w:num>
  <w:num w:numId="20" w16cid:durableId="893001785">
    <w:abstractNumId w:val="19"/>
  </w:num>
  <w:num w:numId="21" w16cid:durableId="241068393">
    <w:abstractNumId w:val="16"/>
  </w:num>
  <w:num w:numId="22" w16cid:durableId="1539321849">
    <w:abstractNumId w:val="24"/>
  </w:num>
  <w:num w:numId="23" w16cid:durableId="2031026506">
    <w:abstractNumId w:val="13"/>
  </w:num>
  <w:num w:numId="24" w16cid:durableId="65883614">
    <w:abstractNumId w:val="23"/>
  </w:num>
  <w:num w:numId="25" w16cid:durableId="1470711678">
    <w:abstractNumId w:val="25"/>
  </w:num>
  <w:num w:numId="26" w16cid:durableId="1744638380">
    <w:abstractNumId w:val="14"/>
  </w:num>
  <w:num w:numId="27" w16cid:durableId="111636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cumentProtection w:edit="trackedChanges" w:enforcement="0"/>
  <w:defaultTabStop w:val="709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E5199B"/>
    <w:rsid w:val="0000050E"/>
    <w:rsid w:val="00003618"/>
    <w:rsid w:val="00003CAA"/>
    <w:rsid w:val="00004957"/>
    <w:rsid w:val="0000512D"/>
    <w:rsid w:val="000064D9"/>
    <w:rsid w:val="000074F2"/>
    <w:rsid w:val="0001139E"/>
    <w:rsid w:val="000156CE"/>
    <w:rsid w:val="00020176"/>
    <w:rsid w:val="00022319"/>
    <w:rsid w:val="00026CDB"/>
    <w:rsid w:val="00027F66"/>
    <w:rsid w:val="00030E15"/>
    <w:rsid w:val="00031E04"/>
    <w:rsid w:val="000328E9"/>
    <w:rsid w:val="00032DBD"/>
    <w:rsid w:val="00033626"/>
    <w:rsid w:val="00033F5F"/>
    <w:rsid w:val="00034C25"/>
    <w:rsid w:val="00035B29"/>
    <w:rsid w:val="00037AD8"/>
    <w:rsid w:val="00047399"/>
    <w:rsid w:val="00050C72"/>
    <w:rsid w:val="00051441"/>
    <w:rsid w:val="0006475D"/>
    <w:rsid w:val="000649A8"/>
    <w:rsid w:val="0006620E"/>
    <w:rsid w:val="00071620"/>
    <w:rsid w:val="00072247"/>
    <w:rsid w:val="000747D5"/>
    <w:rsid w:val="00074CE9"/>
    <w:rsid w:val="00081AA3"/>
    <w:rsid w:val="00083EA3"/>
    <w:rsid w:val="00092E9C"/>
    <w:rsid w:val="000945E3"/>
    <w:rsid w:val="0009669D"/>
    <w:rsid w:val="00097692"/>
    <w:rsid w:val="000A2C35"/>
    <w:rsid w:val="000A3582"/>
    <w:rsid w:val="000A437C"/>
    <w:rsid w:val="000A5600"/>
    <w:rsid w:val="000A7197"/>
    <w:rsid w:val="000B03B5"/>
    <w:rsid w:val="000B166F"/>
    <w:rsid w:val="000B17A5"/>
    <w:rsid w:val="000B323E"/>
    <w:rsid w:val="000B3978"/>
    <w:rsid w:val="000B5449"/>
    <w:rsid w:val="000B67EE"/>
    <w:rsid w:val="000B704C"/>
    <w:rsid w:val="000C263E"/>
    <w:rsid w:val="000D3BFA"/>
    <w:rsid w:val="000D7E8E"/>
    <w:rsid w:val="000E0531"/>
    <w:rsid w:val="000E3ED8"/>
    <w:rsid w:val="000E40D7"/>
    <w:rsid w:val="000F42FC"/>
    <w:rsid w:val="000F665B"/>
    <w:rsid w:val="000F77CF"/>
    <w:rsid w:val="00101F31"/>
    <w:rsid w:val="00104369"/>
    <w:rsid w:val="00104A78"/>
    <w:rsid w:val="001079DF"/>
    <w:rsid w:val="001127D7"/>
    <w:rsid w:val="00114690"/>
    <w:rsid w:val="001148AD"/>
    <w:rsid w:val="00117612"/>
    <w:rsid w:val="001177B2"/>
    <w:rsid w:val="00121393"/>
    <w:rsid w:val="00122F82"/>
    <w:rsid w:val="001267D3"/>
    <w:rsid w:val="00131BC2"/>
    <w:rsid w:val="00136592"/>
    <w:rsid w:val="00136803"/>
    <w:rsid w:val="0013785A"/>
    <w:rsid w:val="00142F8A"/>
    <w:rsid w:val="00143D91"/>
    <w:rsid w:val="001441DF"/>
    <w:rsid w:val="00147ED7"/>
    <w:rsid w:val="00150F89"/>
    <w:rsid w:val="0015283B"/>
    <w:rsid w:val="0015402B"/>
    <w:rsid w:val="00155440"/>
    <w:rsid w:val="00157C55"/>
    <w:rsid w:val="00161051"/>
    <w:rsid w:val="00161720"/>
    <w:rsid w:val="0016319B"/>
    <w:rsid w:val="00165104"/>
    <w:rsid w:val="0016547C"/>
    <w:rsid w:val="001666FE"/>
    <w:rsid w:val="00170C74"/>
    <w:rsid w:val="0017227D"/>
    <w:rsid w:val="00172595"/>
    <w:rsid w:val="00174887"/>
    <w:rsid w:val="00181160"/>
    <w:rsid w:val="00184FB7"/>
    <w:rsid w:val="001933F8"/>
    <w:rsid w:val="00193B92"/>
    <w:rsid w:val="001971C9"/>
    <w:rsid w:val="001A1722"/>
    <w:rsid w:val="001A5662"/>
    <w:rsid w:val="001B0385"/>
    <w:rsid w:val="001B21D1"/>
    <w:rsid w:val="001B3060"/>
    <w:rsid w:val="001B344F"/>
    <w:rsid w:val="001B3CF9"/>
    <w:rsid w:val="001B5BCE"/>
    <w:rsid w:val="001C6885"/>
    <w:rsid w:val="001D1322"/>
    <w:rsid w:val="001D30F7"/>
    <w:rsid w:val="001E080D"/>
    <w:rsid w:val="001E3D98"/>
    <w:rsid w:val="001E57C5"/>
    <w:rsid w:val="001E69FC"/>
    <w:rsid w:val="001E6A34"/>
    <w:rsid w:val="001F5215"/>
    <w:rsid w:val="001F6ED3"/>
    <w:rsid w:val="00200D08"/>
    <w:rsid w:val="0020242D"/>
    <w:rsid w:val="00202A6B"/>
    <w:rsid w:val="00224225"/>
    <w:rsid w:val="00226508"/>
    <w:rsid w:val="00226AE0"/>
    <w:rsid w:val="00226C2E"/>
    <w:rsid w:val="002274FC"/>
    <w:rsid w:val="00236BE1"/>
    <w:rsid w:val="00243527"/>
    <w:rsid w:val="00246961"/>
    <w:rsid w:val="00246D62"/>
    <w:rsid w:val="002479F3"/>
    <w:rsid w:val="00247A8D"/>
    <w:rsid w:val="0025326C"/>
    <w:rsid w:val="00256153"/>
    <w:rsid w:val="00256634"/>
    <w:rsid w:val="0026189B"/>
    <w:rsid w:val="00262716"/>
    <w:rsid w:val="00262B2E"/>
    <w:rsid w:val="002646A4"/>
    <w:rsid w:val="00264C98"/>
    <w:rsid w:val="00265ABC"/>
    <w:rsid w:val="00276CC7"/>
    <w:rsid w:val="002848ED"/>
    <w:rsid w:val="00285790"/>
    <w:rsid w:val="0028670E"/>
    <w:rsid w:val="002868C0"/>
    <w:rsid w:val="00287F41"/>
    <w:rsid w:val="00291066"/>
    <w:rsid w:val="00292AF1"/>
    <w:rsid w:val="00294A0D"/>
    <w:rsid w:val="002970B2"/>
    <w:rsid w:val="00297E4D"/>
    <w:rsid w:val="002A2FE1"/>
    <w:rsid w:val="002B074F"/>
    <w:rsid w:val="002C2748"/>
    <w:rsid w:val="002C6AEE"/>
    <w:rsid w:val="002C7C38"/>
    <w:rsid w:val="002D1BE6"/>
    <w:rsid w:val="002D2DAB"/>
    <w:rsid w:val="002D4626"/>
    <w:rsid w:val="002D4AE9"/>
    <w:rsid w:val="002D6A98"/>
    <w:rsid w:val="002E1F36"/>
    <w:rsid w:val="002E343F"/>
    <w:rsid w:val="002E39CD"/>
    <w:rsid w:val="002E7F90"/>
    <w:rsid w:val="002F66E6"/>
    <w:rsid w:val="002F7F8E"/>
    <w:rsid w:val="003004B5"/>
    <w:rsid w:val="00302B7C"/>
    <w:rsid w:val="00305D70"/>
    <w:rsid w:val="00305FA0"/>
    <w:rsid w:val="0030695B"/>
    <w:rsid w:val="0031141B"/>
    <w:rsid w:val="0031257A"/>
    <w:rsid w:val="0032421A"/>
    <w:rsid w:val="00325407"/>
    <w:rsid w:val="00325D70"/>
    <w:rsid w:val="00333FE9"/>
    <w:rsid w:val="0033674B"/>
    <w:rsid w:val="00340E0D"/>
    <w:rsid w:val="00341129"/>
    <w:rsid w:val="00344767"/>
    <w:rsid w:val="003512F5"/>
    <w:rsid w:val="00351369"/>
    <w:rsid w:val="00351466"/>
    <w:rsid w:val="00351837"/>
    <w:rsid w:val="003523D0"/>
    <w:rsid w:val="00355890"/>
    <w:rsid w:val="00360764"/>
    <w:rsid w:val="003613B8"/>
    <w:rsid w:val="00364C73"/>
    <w:rsid w:val="00366545"/>
    <w:rsid w:val="003704CE"/>
    <w:rsid w:val="00372558"/>
    <w:rsid w:val="00372D50"/>
    <w:rsid w:val="00376A13"/>
    <w:rsid w:val="003770B0"/>
    <w:rsid w:val="00377BF9"/>
    <w:rsid w:val="0038118C"/>
    <w:rsid w:val="00381877"/>
    <w:rsid w:val="00381E34"/>
    <w:rsid w:val="00384B97"/>
    <w:rsid w:val="00385DDC"/>
    <w:rsid w:val="00391203"/>
    <w:rsid w:val="00392BC3"/>
    <w:rsid w:val="003933BC"/>
    <w:rsid w:val="003950F2"/>
    <w:rsid w:val="003A0B31"/>
    <w:rsid w:val="003A121B"/>
    <w:rsid w:val="003A2EF7"/>
    <w:rsid w:val="003B2BFF"/>
    <w:rsid w:val="003B2DC5"/>
    <w:rsid w:val="003B438B"/>
    <w:rsid w:val="003B5272"/>
    <w:rsid w:val="003B650B"/>
    <w:rsid w:val="003B7934"/>
    <w:rsid w:val="003B7D2C"/>
    <w:rsid w:val="003C05AF"/>
    <w:rsid w:val="003C0CC7"/>
    <w:rsid w:val="003C3535"/>
    <w:rsid w:val="003C5DDF"/>
    <w:rsid w:val="003C77F5"/>
    <w:rsid w:val="003D4AFE"/>
    <w:rsid w:val="003D5008"/>
    <w:rsid w:val="003D52E2"/>
    <w:rsid w:val="003D5F3B"/>
    <w:rsid w:val="003E0508"/>
    <w:rsid w:val="003E4A68"/>
    <w:rsid w:val="003E7136"/>
    <w:rsid w:val="003F0E09"/>
    <w:rsid w:val="003F18FA"/>
    <w:rsid w:val="003F1D70"/>
    <w:rsid w:val="003F221A"/>
    <w:rsid w:val="003F320D"/>
    <w:rsid w:val="003F5085"/>
    <w:rsid w:val="003F62D1"/>
    <w:rsid w:val="003F70BB"/>
    <w:rsid w:val="00400358"/>
    <w:rsid w:val="00402C82"/>
    <w:rsid w:val="004042DD"/>
    <w:rsid w:val="00405C3B"/>
    <w:rsid w:val="004064BB"/>
    <w:rsid w:val="004116A5"/>
    <w:rsid w:val="004119D9"/>
    <w:rsid w:val="00412279"/>
    <w:rsid w:val="00414885"/>
    <w:rsid w:val="00414B4E"/>
    <w:rsid w:val="0041517C"/>
    <w:rsid w:val="00424AB6"/>
    <w:rsid w:val="00427C8D"/>
    <w:rsid w:val="00435DE1"/>
    <w:rsid w:val="00440331"/>
    <w:rsid w:val="00442B98"/>
    <w:rsid w:val="00443464"/>
    <w:rsid w:val="00445E8D"/>
    <w:rsid w:val="0044638B"/>
    <w:rsid w:val="00446D34"/>
    <w:rsid w:val="004515B5"/>
    <w:rsid w:val="00451957"/>
    <w:rsid w:val="00452BC0"/>
    <w:rsid w:val="00456C81"/>
    <w:rsid w:val="004709F6"/>
    <w:rsid w:val="004718E7"/>
    <w:rsid w:val="00472116"/>
    <w:rsid w:val="00473AB4"/>
    <w:rsid w:val="004823CA"/>
    <w:rsid w:val="004844D5"/>
    <w:rsid w:val="00486E81"/>
    <w:rsid w:val="00496192"/>
    <w:rsid w:val="004961D0"/>
    <w:rsid w:val="004A223B"/>
    <w:rsid w:val="004A3BA2"/>
    <w:rsid w:val="004A7D75"/>
    <w:rsid w:val="004B0D35"/>
    <w:rsid w:val="004B4E75"/>
    <w:rsid w:val="004B7ABD"/>
    <w:rsid w:val="004C315F"/>
    <w:rsid w:val="004C4A37"/>
    <w:rsid w:val="004C6D6E"/>
    <w:rsid w:val="004D0DEE"/>
    <w:rsid w:val="004D741F"/>
    <w:rsid w:val="004E1835"/>
    <w:rsid w:val="004E24BF"/>
    <w:rsid w:val="004E28D1"/>
    <w:rsid w:val="004E6A87"/>
    <w:rsid w:val="004F06D2"/>
    <w:rsid w:val="004F0BBA"/>
    <w:rsid w:val="004F1FC0"/>
    <w:rsid w:val="00501232"/>
    <w:rsid w:val="0050292B"/>
    <w:rsid w:val="00503916"/>
    <w:rsid w:val="00504DF6"/>
    <w:rsid w:val="00506615"/>
    <w:rsid w:val="005076EF"/>
    <w:rsid w:val="00507D9C"/>
    <w:rsid w:val="005131D7"/>
    <w:rsid w:val="00521AC7"/>
    <w:rsid w:val="00521F5A"/>
    <w:rsid w:val="00521FF1"/>
    <w:rsid w:val="005256F8"/>
    <w:rsid w:val="00526D1C"/>
    <w:rsid w:val="00527496"/>
    <w:rsid w:val="0054078F"/>
    <w:rsid w:val="00541E61"/>
    <w:rsid w:val="00544B9F"/>
    <w:rsid w:val="0054729A"/>
    <w:rsid w:val="00547558"/>
    <w:rsid w:val="005545D8"/>
    <w:rsid w:val="00555885"/>
    <w:rsid w:val="0055794F"/>
    <w:rsid w:val="0056227E"/>
    <w:rsid w:val="00562EF1"/>
    <w:rsid w:val="00562FD1"/>
    <w:rsid w:val="00563B35"/>
    <w:rsid w:val="00563F19"/>
    <w:rsid w:val="00564C5A"/>
    <w:rsid w:val="00567214"/>
    <w:rsid w:val="00567C88"/>
    <w:rsid w:val="005703B7"/>
    <w:rsid w:val="00573A58"/>
    <w:rsid w:val="005741BE"/>
    <w:rsid w:val="0058246A"/>
    <w:rsid w:val="00583CEA"/>
    <w:rsid w:val="005846B2"/>
    <w:rsid w:val="00592DA6"/>
    <w:rsid w:val="005A4BE9"/>
    <w:rsid w:val="005A5CDB"/>
    <w:rsid w:val="005B3D47"/>
    <w:rsid w:val="005B6F1A"/>
    <w:rsid w:val="005C039C"/>
    <w:rsid w:val="005C0BE8"/>
    <w:rsid w:val="005C0C04"/>
    <w:rsid w:val="005C64FB"/>
    <w:rsid w:val="005C7369"/>
    <w:rsid w:val="005D16BC"/>
    <w:rsid w:val="005D391C"/>
    <w:rsid w:val="005D5877"/>
    <w:rsid w:val="005E125A"/>
    <w:rsid w:val="005E160D"/>
    <w:rsid w:val="005E4E63"/>
    <w:rsid w:val="005E65FF"/>
    <w:rsid w:val="005F103A"/>
    <w:rsid w:val="005F1936"/>
    <w:rsid w:val="005F281E"/>
    <w:rsid w:val="005F2EDA"/>
    <w:rsid w:val="005F325D"/>
    <w:rsid w:val="005F4CCF"/>
    <w:rsid w:val="005F5CA2"/>
    <w:rsid w:val="005F6143"/>
    <w:rsid w:val="005F7EB3"/>
    <w:rsid w:val="00602404"/>
    <w:rsid w:val="00607041"/>
    <w:rsid w:val="00610027"/>
    <w:rsid w:val="006137DF"/>
    <w:rsid w:val="00617B88"/>
    <w:rsid w:val="00625DC8"/>
    <w:rsid w:val="006270BC"/>
    <w:rsid w:val="006311ED"/>
    <w:rsid w:val="00631C43"/>
    <w:rsid w:val="00632B7A"/>
    <w:rsid w:val="006350F9"/>
    <w:rsid w:val="00635D84"/>
    <w:rsid w:val="006372B2"/>
    <w:rsid w:val="00637483"/>
    <w:rsid w:val="0064044D"/>
    <w:rsid w:val="00640ECA"/>
    <w:rsid w:val="00642E02"/>
    <w:rsid w:val="00644EFB"/>
    <w:rsid w:val="0064613E"/>
    <w:rsid w:val="00646554"/>
    <w:rsid w:val="00653BD9"/>
    <w:rsid w:val="00656818"/>
    <w:rsid w:val="00666FD6"/>
    <w:rsid w:val="006707A6"/>
    <w:rsid w:val="0067082E"/>
    <w:rsid w:val="00672D2F"/>
    <w:rsid w:val="006738BE"/>
    <w:rsid w:val="00676BB9"/>
    <w:rsid w:val="00677CEF"/>
    <w:rsid w:val="00683E5E"/>
    <w:rsid w:val="00687651"/>
    <w:rsid w:val="00687805"/>
    <w:rsid w:val="00691C1A"/>
    <w:rsid w:val="006930C0"/>
    <w:rsid w:val="006967DB"/>
    <w:rsid w:val="006977E0"/>
    <w:rsid w:val="00697B25"/>
    <w:rsid w:val="006A203C"/>
    <w:rsid w:val="006A3686"/>
    <w:rsid w:val="006A4357"/>
    <w:rsid w:val="006A61AE"/>
    <w:rsid w:val="006B1E08"/>
    <w:rsid w:val="006B3FC1"/>
    <w:rsid w:val="006B530B"/>
    <w:rsid w:val="006B68E0"/>
    <w:rsid w:val="006C0556"/>
    <w:rsid w:val="006C6B8E"/>
    <w:rsid w:val="006D11BB"/>
    <w:rsid w:val="006D4639"/>
    <w:rsid w:val="006D4C12"/>
    <w:rsid w:val="006D62D0"/>
    <w:rsid w:val="006E09E7"/>
    <w:rsid w:val="006E1A48"/>
    <w:rsid w:val="006F098D"/>
    <w:rsid w:val="006F1141"/>
    <w:rsid w:val="006F3FD8"/>
    <w:rsid w:val="006F522A"/>
    <w:rsid w:val="006F5939"/>
    <w:rsid w:val="006F6870"/>
    <w:rsid w:val="006F6B2E"/>
    <w:rsid w:val="006F6B94"/>
    <w:rsid w:val="00705FFF"/>
    <w:rsid w:val="00706212"/>
    <w:rsid w:val="007066F1"/>
    <w:rsid w:val="00710531"/>
    <w:rsid w:val="007133D1"/>
    <w:rsid w:val="00725BF3"/>
    <w:rsid w:val="00727ACD"/>
    <w:rsid w:val="00730428"/>
    <w:rsid w:val="00730796"/>
    <w:rsid w:val="00733824"/>
    <w:rsid w:val="00735267"/>
    <w:rsid w:val="007370A0"/>
    <w:rsid w:val="00743843"/>
    <w:rsid w:val="007447EB"/>
    <w:rsid w:val="00745E06"/>
    <w:rsid w:val="00747A5A"/>
    <w:rsid w:val="00752DD3"/>
    <w:rsid w:val="00753838"/>
    <w:rsid w:val="00756A87"/>
    <w:rsid w:val="00760773"/>
    <w:rsid w:val="0076227C"/>
    <w:rsid w:val="007629EB"/>
    <w:rsid w:val="00767F3F"/>
    <w:rsid w:val="007706D2"/>
    <w:rsid w:val="007774AE"/>
    <w:rsid w:val="0078247B"/>
    <w:rsid w:val="00787E99"/>
    <w:rsid w:val="007920F2"/>
    <w:rsid w:val="00793D72"/>
    <w:rsid w:val="00796010"/>
    <w:rsid w:val="007A3490"/>
    <w:rsid w:val="007A4435"/>
    <w:rsid w:val="007A51A0"/>
    <w:rsid w:val="007A5510"/>
    <w:rsid w:val="007A5E8B"/>
    <w:rsid w:val="007B0C1C"/>
    <w:rsid w:val="007B1BE4"/>
    <w:rsid w:val="007B2F16"/>
    <w:rsid w:val="007B7BA8"/>
    <w:rsid w:val="007C0A9E"/>
    <w:rsid w:val="007C15F4"/>
    <w:rsid w:val="007C2763"/>
    <w:rsid w:val="007C3962"/>
    <w:rsid w:val="007C5084"/>
    <w:rsid w:val="007C5A5B"/>
    <w:rsid w:val="007C5F51"/>
    <w:rsid w:val="007D1534"/>
    <w:rsid w:val="007D2194"/>
    <w:rsid w:val="007D4668"/>
    <w:rsid w:val="007E2264"/>
    <w:rsid w:val="007F30B7"/>
    <w:rsid w:val="00801011"/>
    <w:rsid w:val="00802DF7"/>
    <w:rsid w:val="00803E67"/>
    <w:rsid w:val="00803EF8"/>
    <w:rsid w:val="0080479D"/>
    <w:rsid w:val="008104DC"/>
    <w:rsid w:val="00814F32"/>
    <w:rsid w:val="00815C2D"/>
    <w:rsid w:val="00822653"/>
    <w:rsid w:val="00823849"/>
    <w:rsid w:val="0083143F"/>
    <w:rsid w:val="00832291"/>
    <w:rsid w:val="008327BA"/>
    <w:rsid w:val="008343C0"/>
    <w:rsid w:val="0083506B"/>
    <w:rsid w:val="008362BC"/>
    <w:rsid w:val="00841A21"/>
    <w:rsid w:val="00842785"/>
    <w:rsid w:val="00853509"/>
    <w:rsid w:val="00857AE8"/>
    <w:rsid w:val="00861580"/>
    <w:rsid w:val="00861E97"/>
    <w:rsid w:val="0086743B"/>
    <w:rsid w:val="00872E4A"/>
    <w:rsid w:val="008762AD"/>
    <w:rsid w:val="00876319"/>
    <w:rsid w:val="008821D5"/>
    <w:rsid w:val="008821D6"/>
    <w:rsid w:val="00885807"/>
    <w:rsid w:val="00891451"/>
    <w:rsid w:val="00895852"/>
    <w:rsid w:val="00895909"/>
    <w:rsid w:val="008B2CE6"/>
    <w:rsid w:val="008B5B59"/>
    <w:rsid w:val="008B6B74"/>
    <w:rsid w:val="008B74DF"/>
    <w:rsid w:val="008C089C"/>
    <w:rsid w:val="008C17F1"/>
    <w:rsid w:val="008C1A98"/>
    <w:rsid w:val="008C2979"/>
    <w:rsid w:val="008C3638"/>
    <w:rsid w:val="008C3ACB"/>
    <w:rsid w:val="008C51BE"/>
    <w:rsid w:val="008D3B29"/>
    <w:rsid w:val="008D4B28"/>
    <w:rsid w:val="008D5AF3"/>
    <w:rsid w:val="008E6A04"/>
    <w:rsid w:val="008F0D71"/>
    <w:rsid w:val="008F1198"/>
    <w:rsid w:val="008F1E7F"/>
    <w:rsid w:val="008F24E3"/>
    <w:rsid w:val="008F628A"/>
    <w:rsid w:val="009007A9"/>
    <w:rsid w:val="00905321"/>
    <w:rsid w:val="00906E6F"/>
    <w:rsid w:val="00907FD0"/>
    <w:rsid w:val="00913688"/>
    <w:rsid w:val="00915021"/>
    <w:rsid w:val="00917BAD"/>
    <w:rsid w:val="00917DEF"/>
    <w:rsid w:val="0092038B"/>
    <w:rsid w:val="00926632"/>
    <w:rsid w:val="009279C6"/>
    <w:rsid w:val="009314BD"/>
    <w:rsid w:val="00931A8A"/>
    <w:rsid w:val="00934FD9"/>
    <w:rsid w:val="00940CD5"/>
    <w:rsid w:val="009433AB"/>
    <w:rsid w:val="00950183"/>
    <w:rsid w:val="00955F5E"/>
    <w:rsid w:val="0095667A"/>
    <w:rsid w:val="009604A5"/>
    <w:rsid w:val="00961E1B"/>
    <w:rsid w:val="00965FE1"/>
    <w:rsid w:val="009661EF"/>
    <w:rsid w:val="00966A93"/>
    <w:rsid w:val="00967D68"/>
    <w:rsid w:val="00967FEE"/>
    <w:rsid w:val="009715C1"/>
    <w:rsid w:val="00973DC7"/>
    <w:rsid w:val="0097614A"/>
    <w:rsid w:val="0098161F"/>
    <w:rsid w:val="00981E1C"/>
    <w:rsid w:val="009825AD"/>
    <w:rsid w:val="00982FB0"/>
    <w:rsid w:val="00983ECB"/>
    <w:rsid w:val="0098513F"/>
    <w:rsid w:val="0098554B"/>
    <w:rsid w:val="009A0B1B"/>
    <w:rsid w:val="009A1F29"/>
    <w:rsid w:val="009B3275"/>
    <w:rsid w:val="009B44CE"/>
    <w:rsid w:val="009B4AE8"/>
    <w:rsid w:val="009C3C8E"/>
    <w:rsid w:val="009C53FB"/>
    <w:rsid w:val="009C64C8"/>
    <w:rsid w:val="009D2EA1"/>
    <w:rsid w:val="009D31D7"/>
    <w:rsid w:val="009D6665"/>
    <w:rsid w:val="009E0DCD"/>
    <w:rsid w:val="009E6DA2"/>
    <w:rsid w:val="009E7AEC"/>
    <w:rsid w:val="009E7CBD"/>
    <w:rsid w:val="009F3649"/>
    <w:rsid w:val="009F4713"/>
    <w:rsid w:val="00A00803"/>
    <w:rsid w:val="00A00BD6"/>
    <w:rsid w:val="00A01724"/>
    <w:rsid w:val="00A04820"/>
    <w:rsid w:val="00A06775"/>
    <w:rsid w:val="00A077F4"/>
    <w:rsid w:val="00A11E78"/>
    <w:rsid w:val="00A135CA"/>
    <w:rsid w:val="00A16FE1"/>
    <w:rsid w:val="00A17451"/>
    <w:rsid w:val="00A200CA"/>
    <w:rsid w:val="00A24E07"/>
    <w:rsid w:val="00A26B31"/>
    <w:rsid w:val="00A27591"/>
    <w:rsid w:val="00A278BB"/>
    <w:rsid w:val="00A365D2"/>
    <w:rsid w:val="00A3771B"/>
    <w:rsid w:val="00A4242F"/>
    <w:rsid w:val="00A42C8E"/>
    <w:rsid w:val="00A43766"/>
    <w:rsid w:val="00A47FD8"/>
    <w:rsid w:val="00A51692"/>
    <w:rsid w:val="00A6298D"/>
    <w:rsid w:val="00A63362"/>
    <w:rsid w:val="00A638D1"/>
    <w:rsid w:val="00A6678F"/>
    <w:rsid w:val="00A709DB"/>
    <w:rsid w:val="00A71728"/>
    <w:rsid w:val="00A820EE"/>
    <w:rsid w:val="00A82846"/>
    <w:rsid w:val="00A85DD4"/>
    <w:rsid w:val="00A87095"/>
    <w:rsid w:val="00A87674"/>
    <w:rsid w:val="00AA01CA"/>
    <w:rsid w:val="00AA7FC4"/>
    <w:rsid w:val="00AB01CA"/>
    <w:rsid w:val="00AB0C17"/>
    <w:rsid w:val="00AB1CD2"/>
    <w:rsid w:val="00AB1F43"/>
    <w:rsid w:val="00AB735F"/>
    <w:rsid w:val="00AB789B"/>
    <w:rsid w:val="00AC1B5B"/>
    <w:rsid w:val="00AC4668"/>
    <w:rsid w:val="00AC469B"/>
    <w:rsid w:val="00AC54CE"/>
    <w:rsid w:val="00AC7B95"/>
    <w:rsid w:val="00AD0D9B"/>
    <w:rsid w:val="00AD5421"/>
    <w:rsid w:val="00AD6670"/>
    <w:rsid w:val="00AD7EB2"/>
    <w:rsid w:val="00AE26CB"/>
    <w:rsid w:val="00AE3288"/>
    <w:rsid w:val="00AF0563"/>
    <w:rsid w:val="00AF34A2"/>
    <w:rsid w:val="00B00362"/>
    <w:rsid w:val="00B017C0"/>
    <w:rsid w:val="00B04152"/>
    <w:rsid w:val="00B0601F"/>
    <w:rsid w:val="00B06379"/>
    <w:rsid w:val="00B12D1C"/>
    <w:rsid w:val="00B12E49"/>
    <w:rsid w:val="00B1530C"/>
    <w:rsid w:val="00B22CED"/>
    <w:rsid w:val="00B25869"/>
    <w:rsid w:val="00B26CA8"/>
    <w:rsid w:val="00B30EBD"/>
    <w:rsid w:val="00B332DE"/>
    <w:rsid w:val="00B36ABD"/>
    <w:rsid w:val="00B36B8F"/>
    <w:rsid w:val="00B51A15"/>
    <w:rsid w:val="00B54B31"/>
    <w:rsid w:val="00B6023F"/>
    <w:rsid w:val="00B6092C"/>
    <w:rsid w:val="00B624DC"/>
    <w:rsid w:val="00B674FC"/>
    <w:rsid w:val="00B7018E"/>
    <w:rsid w:val="00B71045"/>
    <w:rsid w:val="00B72099"/>
    <w:rsid w:val="00B85C36"/>
    <w:rsid w:val="00B86A08"/>
    <w:rsid w:val="00B86BE6"/>
    <w:rsid w:val="00B87710"/>
    <w:rsid w:val="00B87C49"/>
    <w:rsid w:val="00B9167A"/>
    <w:rsid w:val="00B923B6"/>
    <w:rsid w:val="00B947B4"/>
    <w:rsid w:val="00B94F99"/>
    <w:rsid w:val="00B960C5"/>
    <w:rsid w:val="00B96722"/>
    <w:rsid w:val="00BA0884"/>
    <w:rsid w:val="00BA45F1"/>
    <w:rsid w:val="00BB0898"/>
    <w:rsid w:val="00BB4AE8"/>
    <w:rsid w:val="00BC05B0"/>
    <w:rsid w:val="00BC5658"/>
    <w:rsid w:val="00BC5DF4"/>
    <w:rsid w:val="00BD16FC"/>
    <w:rsid w:val="00BD2505"/>
    <w:rsid w:val="00BD3D46"/>
    <w:rsid w:val="00BD6BE4"/>
    <w:rsid w:val="00BD6F77"/>
    <w:rsid w:val="00BE0E9D"/>
    <w:rsid w:val="00BE1269"/>
    <w:rsid w:val="00BE3150"/>
    <w:rsid w:val="00BE37D4"/>
    <w:rsid w:val="00BE4CB1"/>
    <w:rsid w:val="00BF6969"/>
    <w:rsid w:val="00C013FB"/>
    <w:rsid w:val="00C02E85"/>
    <w:rsid w:val="00C02EC6"/>
    <w:rsid w:val="00C02F10"/>
    <w:rsid w:val="00C031CE"/>
    <w:rsid w:val="00C03E6B"/>
    <w:rsid w:val="00C04BAC"/>
    <w:rsid w:val="00C04C76"/>
    <w:rsid w:val="00C04F80"/>
    <w:rsid w:val="00C103E7"/>
    <w:rsid w:val="00C11309"/>
    <w:rsid w:val="00C24FF7"/>
    <w:rsid w:val="00C26B22"/>
    <w:rsid w:val="00C33148"/>
    <w:rsid w:val="00C34B87"/>
    <w:rsid w:val="00C35BC7"/>
    <w:rsid w:val="00C40B52"/>
    <w:rsid w:val="00C41108"/>
    <w:rsid w:val="00C444AD"/>
    <w:rsid w:val="00C509BA"/>
    <w:rsid w:val="00C51AE8"/>
    <w:rsid w:val="00C56AD5"/>
    <w:rsid w:val="00C56F88"/>
    <w:rsid w:val="00C576FC"/>
    <w:rsid w:val="00C5772E"/>
    <w:rsid w:val="00C57CBE"/>
    <w:rsid w:val="00C61A86"/>
    <w:rsid w:val="00C62FE5"/>
    <w:rsid w:val="00C632D7"/>
    <w:rsid w:val="00C64F94"/>
    <w:rsid w:val="00C65388"/>
    <w:rsid w:val="00C666A9"/>
    <w:rsid w:val="00C75307"/>
    <w:rsid w:val="00C8093B"/>
    <w:rsid w:val="00C818DF"/>
    <w:rsid w:val="00C82531"/>
    <w:rsid w:val="00C87303"/>
    <w:rsid w:val="00C9076B"/>
    <w:rsid w:val="00C9077E"/>
    <w:rsid w:val="00C92542"/>
    <w:rsid w:val="00C93156"/>
    <w:rsid w:val="00C94260"/>
    <w:rsid w:val="00C95805"/>
    <w:rsid w:val="00C96645"/>
    <w:rsid w:val="00C969CE"/>
    <w:rsid w:val="00C96BFE"/>
    <w:rsid w:val="00CA24F9"/>
    <w:rsid w:val="00CA3BCB"/>
    <w:rsid w:val="00CA6286"/>
    <w:rsid w:val="00CB2FA7"/>
    <w:rsid w:val="00CC3A1E"/>
    <w:rsid w:val="00CC48CF"/>
    <w:rsid w:val="00CC4A2A"/>
    <w:rsid w:val="00CC76BE"/>
    <w:rsid w:val="00CD0211"/>
    <w:rsid w:val="00CD06EE"/>
    <w:rsid w:val="00CD0C7A"/>
    <w:rsid w:val="00CD2F82"/>
    <w:rsid w:val="00CD3B1E"/>
    <w:rsid w:val="00CD4547"/>
    <w:rsid w:val="00CE0359"/>
    <w:rsid w:val="00CE06E5"/>
    <w:rsid w:val="00CE0C88"/>
    <w:rsid w:val="00CE2D0D"/>
    <w:rsid w:val="00CE3027"/>
    <w:rsid w:val="00CE5827"/>
    <w:rsid w:val="00CE670A"/>
    <w:rsid w:val="00CF052F"/>
    <w:rsid w:val="00CF4665"/>
    <w:rsid w:val="00CF6D56"/>
    <w:rsid w:val="00CF7A3A"/>
    <w:rsid w:val="00D0058F"/>
    <w:rsid w:val="00D04745"/>
    <w:rsid w:val="00D14214"/>
    <w:rsid w:val="00D14ED4"/>
    <w:rsid w:val="00D15EA0"/>
    <w:rsid w:val="00D170AD"/>
    <w:rsid w:val="00D20BDF"/>
    <w:rsid w:val="00D20CB4"/>
    <w:rsid w:val="00D211B5"/>
    <w:rsid w:val="00D22115"/>
    <w:rsid w:val="00D224A9"/>
    <w:rsid w:val="00D258C0"/>
    <w:rsid w:val="00D25EE5"/>
    <w:rsid w:val="00D3016A"/>
    <w:rsid w:val="00D301D1"/>
    <w:rsid w:val="00D30F82"/>
    <w:rsid w:val="00D3582E"/>
    <w:rsid w:val="00D40CEC"/>
    <w:rsid w:val="00D438B9"/>
    <w:rsid w:val="00D43C1B"/>
    <w:rsid w:val="00D44148"/>
    <w:rsid w:val="00D45604"/>
    <w:rsid w:val="00D46EC2"/>
    <w:rsid w:val="00D5152B"/>
    <w:rsid w:val="00D51572"/>
    <w:rsid w:val="00D53F2F"/>
    <w:rsid w:val="00D54A2B"/>
    <w:rsid w:val="00D54C4C"/>
    <w:rsid w:val="00D55FD2"/>
    <w:rsid w:val="00D56DB5"/>
    <w:rsid w:val="00D62985"/>
    <w:rsid w:val="00D63DAD"/>
    <w:rsid w:val="00D65686"/>
    <w:rsid w:val="00D66EC1"/>
    <w:rsid w:val="00D678F0"/>
    <w:rsid w:val="00D733B1"/>
    <w:rsid w:val="00D73BFE"/>
    <w:rsid w:val="00D74F0D"/>
    <w:rsid w:val="00D74FA3"/>
    <w:rsid w:val="00D815FE"/>
    <w:rsid w:val="00D81913"/>
    <w:rsid w:val="00D866ED"/>
    <w:rsid w:val="00D87BBA"/>
    <w:rsid w:val="00DA424B"/>
    <w:rsid w:val="00DB21B4"/>
    <w:rsid w:val="00DB4B22"/>
    <w:rsid w:val="00DB6372"/>
    <w:rsid w:val="00DB7C9A"/>
    <w:rsid w:val="00DC05E6"/>
    <w:rsid w:val="00DC0BA7"/>
    <w:rsid w:val="00DC1D2F"/>
    <w:rsid w:val="00DC24E2"/>
    <w:rsid w:val="00DC25E1"/>
    <w:rsid w:val="00DC6D23"/>
    <w:rsid w:val="00DD0357"/>
    <w:rsid w:val="00DD3667"/>
    <w:rsid w:val="00DD7CBE"/>
    <w:rsid w:val="00DD7F33"/>
    <w:rsid w:val="00DE04C8"/>
    <w:rsid w:val="00DE0E74"/>
    <w:rsid w:val="00DE1FA2"/>
    <w:rsid w:val="00DE2862"/>
    <w:rsid w:val="00DE2E14"/>
    <w:rsid w:val="00DF176D"/>
    <w:rsid w:val="00DF241E"/>
    <w:rsid w:val="00DF2A75"/>
    <w:rsid w:val="00DF328B"/>
    <w:rsid w:val="00E02542"/>
    <w:rsid w:val="00E10778"/>
    <w:rsid w:val="00E17BF5"/>
    <w:rsid w:val="00E43E09"/>
    <w:rsid w:val="00E51303"/>
    <w:rsid w:val="00E5199B"/>
    <w:rsid w:val="00E52B3B"/>
    <w:rsid w:val="00E542BA"/>
    <w:rsid w:val="00E55896"/>
    <w:rsid w:val="00E56361"/>
    <w:rsid w:val="00E57DCD"/>
    <w:rsid w:val="00E57E9D"/>
    <w:rsid w:val="00E57F0E"/>
    <w:rsid w:val="00E6267D"/>
    <w:rsid w:val="00E6333C"/>
    <w:rsid w:val="00E6740B"/>
    <w:rsid w:val="00E67F4A"/>
    <w:rsid w:val="00E70879"/>
    <w:rsid w:val="00E71C8F"/>
    <w:rsid w:val="00E74332"/>
    <w:rsid w:val="00E77C09"/>
    <w:rsid w:val="00E83935"/>
    <w:rsid w:val="00E861C8"/>
    <w:rsid w:val="00E87468"/>
    <w:rsid w:val="00E87CB6"/>
    <w:rsid w:val="00E900C5"/>
    <w:rsid w:val="00E91CE7"/>
    <w:rsid w:val="00E92EE3"/>
    <w:rsid w:val="00E975A1"/>
    <w:rsid w:val="00EA0F7A"/>
    <w:rsid w:val="00EA1420"/>
    <w:rsid w:val="00EA1D6C"/>
    <w:rsid w:val="00EA3C05"/>
    <w:rsid w:val="00EB07FF"/>
    <w:rsid w:val="00EB1997"/>
    <w:rsid w:val="00EB3C05"/>
    <w:rsid w:val="00EB570C"/>
    <w:rsid w:val="00EB576B"/>
    <w:rsid w:val="00EB6164"/>
    <w:rsid w:val="00EB6896"/>
    <w:rsid w:val="00EB6983"/>
    <w:rsid w:val="00EB6D05"/>
    <w:rsid w:val="00EB7E19"/>
    <w:rsid w:val="00EC15C2"/>
    <w:rsid w:val="00EC49A8"/>
    <w:rsid w:val="00ED0753"/>
    <w:rsid w:val="00EE19FA"/>
    <w:rsid w:val="00EE72D4"/>
    <w:rsid w:val="00EE7945"/>
    <w:rsid w:val="00EF0F83"/>
    <w:rsid w:val="00EF1922"/>
    <w:rsid w:val="00EF2B6F"/>
    <w:rsid w:val="00EF388D"/>
    <w:rsid w:val="00EF38D9"/>
    <w:rsid w:val="00EF3AC6"/>
    <w:rsid w:val="00EF7FAA"/>
    <w:rsid w:val="00F00270"/>
    <w:rsid w:val="00F02831"/>
    <w:rsid w:val="00F116E7"/>
    <w:rsid w:val="00F11DF4"/>
    <w:rsid w:val="00F11F2B"/>
    <w:rsid w:val="00F22098"/>
    <w:rsid w:val="00F2306C"/>
    <w:rsid w:val="00F2435A"/>
    <w:rsid w:val="00F254DC"/>
    <w:rsid w:val="00F26EBD"/>
    <w:rsid w:val="00F27A48"/>
    <w:rsid w:val="00F328EB"/>
    <w:rsid w:val="00F34682"/>
    <w:rsid w:val="00F36926"/>
    <w:rsid w:val="00F4045E"/>
    <w:rsid w:val="00F42B63"/>
    <w:rsid w:val="00F45FCB"/>
    <w:rsid w:val="00F462D0"/>
    <w:rsid w:val="00F50151"/>
    <w:rsid w:val="00F51944"/>
    <w:rsid w:val="00F545FE"/>
    <w:rsid w:val="00F5587F"/>
    <w:rsid w:val="00F55C08"/>
    <w:rsid w:val="00F5665B"/>
    <w:rsid w:val="00F579EE"/>
    <w:rsid w:val="00F650B3"/>
    <w:rsid w:val="00F6694E"/>
    <w:rsid w:val="00F670F8"/>
    <w:rsid w:val="00F70358"/>
    <w:rsid w:val="00F726AD"/>
    <w:rsid w:val="00F73AE9"/>
    <w:rsid w:val="00F74EDA"/>
    <w:rsid w:val="00F76AF1"/>
    <w:rsid w:val="00F8278A"/>
    <w:rsid w:val="00F84A7F"/>
    <w:rsid w:val="00F85908"/>
    <w:rsid w:val="00F950CC"/>
    <w:rsid w:val="00F9529F"/>
    <w:rsid w:val="00F97FE3"/>
    <w:rsid w:val="00FA0ABF"/>
    <w:rsid w:val="00FA1532"/>
    <w:rsid w:val="00FA15F3"/>
    <w:rsid w:val="00FA166D"/>
    <w:rsid w:val="00FA7A22"/>
    <w:rsid w:val="00FB1446"/>
    <w:rsid w:val="00FB7BCA"/>
    <w:rsid w:val="00FB7BD5"/>
    <w:rsid w:val="00FC32FE"/>
    <w:rsid w:val="00FC3A82"/>
    <w:rsid w:val="00FC56FB"/>
    <w:rsid w:val="00FD04B6"/>
    <w:rsid w:val="00FD2511"/>
    <w:rsid w:val="00FD4914"/>
    <w:rsid w:val="00FD5113"/>
    <w:rsid w:val="00FE07EE"/>
    <w:rsid w:val="00FE098B"/>
    <w:rsid w:val="00FE488D"/>
    <w:rsid w:val="00FE52A9"/>
    <w:rsid w:val="00FE745C"/>
    <w:rsid w:val="00FF3D8C"/>
    <w:rsid w:val="00FF4092"/>
    <w:rsid w:val="00FF681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DE133"/>
  <w15:chartTrackingRefBased/>
  <w15:docId w15:val="{4BC45C13-DB76-4C14-B253-CFA087E3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5199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519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5199B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E5199B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519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99B"/>
  </w:style>
  <w:style w:type="paragraph" w:styleId="Revisione">
    <w:name w:val="Revision"/>
    <w:hidden/>
    <w:uiPriority w:val="99"/>
    <w:semiHidden/>
    <w:rsid w:val="003613B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131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131D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131D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31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31D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223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2319"/>
  </w:style>
  <w:style w:type="paragraph" w:customStyle="1" w:styleId="Bullets">
    <w:name w:val="_Bullets"/>
    <w:basedOn w:val="Normale"/>
    <w:rsid w:val="00DC0BA7"/>
    <w:pPr>
      <w:numPr>
        <w:numId w:val="11"/>
      </w:numPr>
      <w:spacing w:after="60" w:line="220" w:lineRule="exact"/>
      <w:ind w:left="230" w:right="11" w:hanging="230"/>
      <w:jc w:val="both"/>
    </w:pPr>
    <w:rPr>
      <w:rFonts w:ascii="Calibri" w:hAnsi="Calibri" w:cs="Calibri"/>
      <w:color w:val="000000"/>
      <w:spacing w:val="-2"/>
      <w:sz w:val="19"/>
      <w:szCs w:val="19"/>
    </w:rPr>
  </w:style>
  <w:style w:type="character" w:customStyle="1" w:styleId="BodyTextChar">
    <w:name w:val="_BodyText Char"/>
    <w:basedOn w:val="Carpredefinitoparagrafo"/>
    <w:link w:val="BodyText"/>
    <w:locked/>
    <w:rsid w:val="00DC0BA7"/>
    <w:rPr>
      <w:color w:val="000000"/>
      <w:spacing w:val="-2"/>
    </w:rPr>
  </w:style>
  <w:style w:type="paragraph" w:customStyle="1" w:styleId="BodyText">
    <w:name w:val="_BodyText"/>
    <w:basedOn w:val="Normale"/>
    <w:link w:val="BodyTextChar"/>
    <w:rsid w:val="00DC0BA7"/>
    <w:pPr>
      <w:spacing w:after="120" w:line="240" w:lineRule="auto"/>
      <w:jc w:val="both"/>
    </w:pPr>
    <w:rPr>
      <w:color w:val="000000"/>
      <w:spacing w:val="-2"/>
    </w:rPr>
  </w:style>
  <w:style w:type="character" w:styleId="Enfasigrassetto">
    <w:name w:val="Strong"/>
    <w:basedOn w:val="Carpredefinitoparagrafo"/>
    <w:uiPriority w:val="22"/>
    <w:qFormat/>
    <w:rsid w:val="00264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cagnoni@bc-communication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Turco - BC Communication</dc:creator>
  <cp:keywords/>
  <dc:description/>
  <cp:lastModifiedBy>Info BC Communication</cp:lastModifiedBy>
  <cp:revision>87</cp:revision>
  <dcterms:created xsi:type="dcterms:W3CDTF">2024-05-20T12:42:00Z</dcterms:created>
  <dcterms:modified xsi:type="dcterms:W3CDTF">2024-09-20T07:57:00Z</dcterms:modified>
</cp:coreProperties>
</file>