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55F9" w14:textId="6F5750C3" w:rsidR="00DD1F01" w:rsidRDefault="00BF0338" w:rsidP="00DD1F01">
      <w:pPr>
        <w:spacing w:after="0" w:line="240" w:lineRule="auto"/>
        <w:contextualSpacing/>
      </w:pPr>
      <w:r w:rsidRPr="00F45A89">
        <w:rPr>
          <w:b/>
          <w:bCs/>
        </w:rPr>
        <w:t>RBC BlueBay AM –</w:t>
      </w:r>
      <w:r w:rsidR="00E16480">
        <w:rPr>
          <w:b/>
          <w:bCs/>
        </w:rPr>
        <w:t xml:space="preserve"> Azioni</w:t>
      </w:r>
      <w:r w:rsidRPr="00F45A89">
        <w:rPr>
          <w:b/>
          <w:bCs/>
        </w:rPr>
        <w:t xml:space="preserve">: </w:t>
      </w:r>
      <w:r w:rsidR="00E16480">
        <w:rPr>
          <w:b/>
          <w:bCs/>
        </w:rPr>
        <w:t>quattro fattori da monitorare sui mercati emergenti nel tech</w:t>
      </w:r>
      <w:r w:rsidR="00F45A89">
        <w:rPr>
          <w:b/>
          <w:bCs/>
        </w:rPr>
        <w:br/>
      </w:r>
    </w:p>
    <w:p w14:paraId="0B5905E8" w14:textId="77777777" w:rsidR="00DD1F01" w:rsidRPr="00C3721F" w:rsidRDefault="00DD1F01" w:rsidP="00DD1F01">
      <w:pPr>
        <w:spacing w:after="0" w:line="240" w:lineRule="auto"/>
        <w:contextualSpacing/>
      </w:pPr>
      <w:r>
        <w:t xml:space="preserve">A cura di </w:t>
      </w:r>
      <w:r w:rsidRPr="007617D0">
        <w:rPr>
          <w:b/>
          <w:bCs/>
        </w:rPr>
        <w:t>Guido Giammattei, EM Equity Portfolio Manager, RBC BlueBay</w:t>
      </w:r>
    </w:p>
    <w:p w14:paraId="36F4A6E6" w14:textId="77777777" w:rsidR="00024ED5" w:rsidRPr="00F45A89" w:rsidRDefault="00024ED5" w:rsidP="00F45A89">
      <w:pPr>
        <w:spacing w:after="0" w:line="240" w:lineRule="auto"/>
        <w:contextualSpacing/>
      </w:pPr>
    </w:p>
    <w:p w14:paraId="1B13D4DB" w14:textId="5DD181AC" w:rsidR="00535C5F" w:rsidRPr="00536FD8" w:rsidRDefault="008960D7" w:rsidP="00F45A89">
      <w:pPr>
        <w:spacing w:after="0" w:line="240" w:lineRule="auto"/>
        <w:contextualSpacing/>
      </w:pPr>
      <w:r w:rsidRPr="008960D7">
        <w:t>Sebbene vi siano pochi dubbi sulla crescita strutturale offerta dal</w:t>
      </w:r>
      <w:r w:rsidR="00535C5F">
        <w:t>l’</w:t>
      </w:r>
      <w:r w:rsidRPr="008960D7">
        <w:t>'</w:t>
      </w:r>
      <w:r>
        <w:t>IA</w:t>
      </w:r>
      <w:r w:rsidRPr="008960D7">
        <w:t xml:space="preserve">, la performance dei titoli esposti a questo tema è diventata piuttosto estesa. </w:t>
      </w:r>
      <w:r w:rsidR="00BF0338">
        <w:t>G</w:t>
      </w:r>
      <w:r w:rsidRPr="008960D7">
        <w:t>li investitori rincorr</w:t>
      </w:r>
      <w:r w:rsidR="00535C5F">
        <w:t>ono</w:t>
      </w:r>
      <w:r w:rsidRPr="008960D7">
        <w:t xml:space="preserve"> questi titoli e </w:t>
      </w:r>
      <w:r w:rsidR="007C4CE3">
        <w:t>tale</w:t>
      </w:r>
      <w:r>
        <w:t xml:space="preserve"> situazione</w:t>
      </w:r>
      <w:r w:rsidRPr="008960D7">
        <w:t xml:space="preserve"> continua a far </w:t>
      </w:r>
      <w:r>
        <w:t>crescere</w:t>
      </w:r>
      <w:r w:rsidRPr="008960D7">
        <w:t xml:space="preserve"> i mercati.</w:t>
      </w:r>
      <w:r w:rsidR="00535C5F">
        <w:t xml:space="preserve"> L</w:t>
      </w:r>
      <w:r w:rsidRPr="008960D7">
        <w:t xml:space="preserve">a domanda rimane </w:t>
      </w:r>
      <w:r>
        <w:t>solida</w:t>
      </w:r>
      <w:r w:rsidRPr="008960D7">
        <w:t xml:space="preserve">, così come </w:t>
      </w:r>
      <w:r>
        <w:t>le spese in conto capitale</w:t>
      </w:r>
      <w:r w:rsidR="00E16480">
        <w:t>.</w:t>
      </w:r>
      <w:r w:rsidRPr="008960D7">
        <w:t xml:space="preserve"> </w:t>
      </w:r>
      <w:r w:rsidR="00E16480">
        <w:t>E</w:t>
      </w:r>
      <w:r w:rsidRPr="008960D7">
        <w:t xml:space="preserve"> non </w:t>
      </w:r>
      <w:r>
        <w:t>sono presenti</w:t>
      </w:r>
      <w:r w:rsidRPr="008960D7">
        <w:t xml:space="preserve"> segnali di </w:t>
      </w:r>
      <w:r>
        <w:t>downgrade</w:t>
      </w:r>
      <w:r w:rsidRPr="008960D7">
        <w:t xml:space="preserve"> degli utili. Le valutazioni sono molto elevate, ma non “folli”. Tuttavia, </w:t>
      </w:r>
      <w:r>
        <w:t>da ultimo,</w:t>
      </w:r>
      <w:r w:rsidRPr="008960D7">
        <w:t xml:space="preserve"> i mercati </w:t>
      </w:r>
      <w:r>
        <w:t>evidenziano una correzione</w:t>
      </w:r>
      <w:r w:rsidR="00024ED5" w:rsidRPr="008960D7">
        <w:t xml:space="preserve">. </w:t>
      </w:r>
      <w:r w:rsidR="00B0038C">
        <w:t>L</w:t>
      </w:r>
      <w:r w:rsidR="00B0038C" w:rsidRPr="00B0038C">
        <w:t xml:space="preserve">a bolla delle dot </w:t>
      </w:r>
      <w:proofErr w:type="spellStart"/>
      <w:r w:rsidR="00B0038C" w:rsidRPr="00B0038C">
        <w:t>com</w:t>
      </w:r>
      <w:proofErr w:type="spellEnd"/>
      <w:r w:rsidR="00B0038C" w:rsidRPr="00B0038C">
        <w:t xml:space="preserve"> si è scontrata con un muro nel marzo 2000 e il “perché” e il “come” sia iniziata la correzione restano un mistero. </w:t>
      </w:r>
      <w:r w:rsidR="00B0038C" w:rsidRPr="00D14072">
        <w:t>È successo e basta</w:t>
      </w:r>
      <w:r w:rsidR="00024ED5" w:rsidRPr="008960D7">
        <w:t>.</w:t>
      </w:r>
      <w:r w:rsidR="00E16480">
        <w:t xml:space="preserve"> </w:t>
      </w:r>
      <w:r w:rsidR="00D14072" w:rsidRPr="00D14072">
        <w:t xml:space="preserve">A nostro avviso, </w:t>
      </w:r>
      <w:r w:rsidR="00535C5F">
        <w:t xml:space="preserve">però, ci sono </w:t>
      </w:r>
      <w:r w:rsidR="00D14072" w:rsidRPr="00F45A89">
        <w:rPr>
          <w:b/>
          <w:bCs/>
        </w:rPr>
        <w:t xml:space="preserve">quattro fattori </w:t>
      </w:r>
      <w:r w:rsidR="00535C5F">
        <w:rPr>
          <w:b/>
          <w:bCs/>
        </w:rPr>
        <w:t>che</w:t>
      </w:r>
      <w:r w:rsidR="00D14072" w:rsidRPr="00F45A89">
        <w:rPr>
          <w:b/>
          <w:bCs/>
        </w:rPr>
        <w:t xml:space="preserve"> suggeriscono</w:t>
      </w:r>
      <w:r w:rsidR="007C4CE3" w:rsidRPr="00F45A89">
        <w:rPr>
          <w:b/>
          <w:bCs/>
        </w:rPr>
        <w:t xml:space="preserve"> di adottare una certa</w:t>
      </w:r>
      <w:r w:rsidR="00D14072" w:rsidRPr="00F45A89">
        <w:rPr>
          <w:b/>
          <w:bCs/>
        </w:rPr>
        <w:t xml:space="preserve"> cautela</w:t>
      </w:r>
      <w:r w:rsidR="00E16480">
        <w:t>.</w:t>
      </w:r>
      <w:r w:rsidR="00BF0338">
        <w:rPr>
          <w:b/>
          <w:bCs/>
        </w:rPr>
        <w:br/>
      </w:r>
      <w:r w:rsidR="00BF0338">
        <w:rPr>
          <w:b/>
          <w:bCs/>
        </w:rPr>
        <w:br/>
      </w:r>
      <w:r w:rsidR="006411DA" w:rsidRPr="00F45A89">
        <w:rPr>
          <w:u w:val="single"/>
        </w:rPr>
        <w:t>E</w:t>
      </w:r>
      <w:r w:rsidR="00D14072" w:rsidRPr="00F45A89">
        <w:rPr>
          <w:u w:val="single"/>
        </w:rPr>
        <w:t>ntità e velocità dei guadagni azionari</w:t>
      </w:r>
      <w:r w:rsidR="00024ED5" w:rsidRPr="00F45A89">
        <w:rPr>
          <w:u w:val="single"/>
        </w:rPr>
        <w:t xml:space="preserve"> </w:t>
      </w:r>
      <w:r w:rsidR="00BF0338" w:rsidRPr="00F45A89">
        <w:rPr>
          <w:u w:val="single"/>
        </w:rPr>
        <w:br/>
      </w:r>
      <w:r w:rsidR="00BF0338" w:rsidRPr="00F45A89">
        <w:rPr>
          <w:b/>
          <w:bCs/>
        </w:rPr>
        <w:t>D</w:t>
      </w:r>
      <w:r w:rsidR="00D14072" w:rsidRPr="00F45A89">
        <w:rPr>
          <w:b/>
          <w:bCs/>
        </w:rPr>
        <w:t xml:space="preserve">all'inizio del 2023, le azioni taiwanesi hanno </w:t>
      </w:r>
      <w:r w:rsidR="009F160A" w:rsidRPr="00F45A89">
        <w:rPr>
          <w:b/>
          <w:bCs/>
        </w:rPr>
        <w:t>registrato</w:t>
      </w:r>
      <w:r w:rsidR="00D14072" w:rsidRPr="00F45A89">
        <w:rPr>
          <w:b/>
          <w:bCs/>
        </w:rPr>
        <w:t xml:space="preserve"> un rally dell'85%, guidate da un rally del 150% del produttore di chip </w:t>
      </w:r>
      <w:r w:rsidR="00024ED5" w:rsidRPr="00F45A89">
        <w:rPr>
          <w:b/>
          <w:bCs/>
        </w:rPr>
        <w:t>TSMC</w:t>
      </w:r>
      <w:r w:rsidR="00024ED5" w:rsidRPr="00D14072">
        <w:t xml:space="preserve">. </w:t>
      </w:r>
      <w:r w:rsidR="00AA12DD" w:rsidRPr="00F45A89">
        <w:rPr>
          <w:b/>
          <w:bCs/>
        </w:rPr>
        <w:t xml:space="preserve">In Corea, SK Hynix, il principale fornitore di memoria per le GPU Nvidia, ha guadagnato il </w:t>
      </w:r>
      <w:r w:rsidR="00024ED5" w:rsidRPr="00F45A89">
        <w:rPr>
          <w:b/>
          <w:bCs/>
        </w:rPr>
        <w:t>220%</w:t>
      </w:r>
      <w:r w:rsidR="00024ED5" w:rsidRPr="008960D7">
        <w:t xml:space="preserve">. </w:t>
      </w:r>
      <w:r w:rsidR="00AA12DD" w:rsidRPr="00AA12DD">
        <w:t xml:space="preserve">Negli </w:t>
      </w:r>
      <w:r w:rsidR="00AA12DD">
        <w:t>USA</w:t>
      </w:r>
      <w:r w:rsidR="00AA12DD" w:rsidRPr="00AA12DD">
        <w:t xml:space="preserve">, Nvidia </w:t>
      </w:r>
      <w:r w:rsidR="00AA12DD">
        <w:t>ha evidenziato una maggiore</w:t>
      </w:r>
      <w:r w:rsidR="009F160A">
        <w:t xml:space="preserve"> crescita</w:t>
      </w:r>
      <w:r w:rsidR="00AA12DD" w:rsidRPr="00AA12DD">
        <w:t xml:space="preserve">, guadagnando l'800% nello stesso arco di tempo, mentre un indice HSBC AI ha guadagnato il 160% negli ultimi 18 </w:t>
      </w:r>
      <w:r w:rsidR="00AA12DD">
        <w:t>mesi</w:t>
      </w:r>
      <w:r w:rsidR="00024ED5" w:rsidRPr="00AA12DD">
        <w:t xml:space="preserve">. </w:t>
      </w:r>
      <w:r w:rsidR="00AA12DD" w:rsidRPr="00AA12DD">
        <w:t>Un</w:t>
      </w:r>
      <w:r w:rsidR="00AA12DD">
        <w:t xml:space="preserve"> altro parametro</w:t>
      </w:r>
      <w:r w:rsidR="00AA12DD" w:rsidRPr="00AA12DD">
        <w:t xml:space="preserve"> dell'azione estrema dei prezzi, l'MSCI EM Information Technology</w:t>
      </w:r>
      <w:r w:rsidR="00AA12DD">
        <w:t xml:space="preserve"> Index</w:t>
      </w:r>
      <w:r w:rsidR="00AA12DD" w:rsidRPr="00AA12DD">
        <w:t xml:space="preserve"> rispetto all'MSCI Consumer Staples</w:t>
      </w:r>
      <w:r w:rsidR="00AA12DD">
        <w:t xml:space="preserve"> </w:t>
      </w:r>
      <w:r w:rsidR="00AA12DD" w:rsidRPr="00AA12DD">
        <w:t xml:space="preserve">Index, </w:t>
      </w:r>
      <w:r w:rsidR="00535C5F">
        <w:t>ha superato di recente</w:t>
      </w:r>
      <w:r w:rsidR="00AA12DD" w:rsidRPr="00AA12DD">
        <w:t xml:space="preserve"> il picco relativo del</w:t>
      </w:r>
      <w:r w:rsidR="00AA12DD">
        <w:t xml:space="preserve"> comparto </w:t>
      </w:r>
      <w:r w:rsidR="00AA12DD" w:rsidRPr="00AA12DD">
        <w:t xml:space="preserve">IT durante la bolla </w:t>
      </w:r>
      <w:r w:rsidR="00AA12DD">
        <w:t>di I</w:t>
      </w:r>
      <w:r w:rsidR="00AA12DD" w:rsidRPr="00AA12DD">
        <w:t>nternet del</w:t>
      </w:r>
      <w:r w:rsidR="00AA12DD">
        <w:t xml:space="preserve"> biennio</w:t>
      </w:r>
      <w:r w:rsidR="00AA12DD" w:rsidRPr="00AA12DD">
        <w:t xml:space="preserve"> 1999/2000</w:t>
      </w:r>
      <w:r w:rsidR="00AA12DD" w:rsidRPr="00536FD8">
        <w:t>.</w:t>
      </w:r>
    </w:p>
    <w:p w14:paraId="46BEEE0A" w14:textId="33C09746" w:rsidR="00536FD8" w:rsidRPr="00E035A1" w:rsidRDefault="00024ED5" w:rsidP="00F45A89">
      <w:pPr>
        <w:spacing w:after="0" w:line="240" w:lineRule="auto"/>
        <w:contextualSpacing/>
      </w:pPr>
      <w:r w:rsidRPr="00F45A89">
        <w:rPr>
          <w:u w:val="single"/>
        </w:rPr>
        <w:t>Valu</w:t>
      </w:r>
      <w:r w:rsidR="00536FD8" w:rsidRPr="00F45A89">
        <w:rPr>
          <w:u w:val="single"/>
        </w:rPr>
        <w:t>tazioni</w:t>
      </w:r>
      <w:r w:rsidR="00BF0338">
        <w:br/>
        <w:t>L</w:t>
      </w:r>
      <w:r w:rsidR="00536FD8" w:rsidRPr="00536FD8">
        <w:t xml:space="preserve">a maggior parte della catena di approvvigionamento dell'IA </w:t>
      </w:r>
      <w:r w:rsidR="00536FD8">
        <w:t>è ubicata</w:t>
      </w:r>
      <w:r w:rsidR="00536FD8" w:rsidRPr="00536FD8">
        <w:t xml:space="preserve"> a </w:t>
      </w:r>
      <w:r w:rsidR="00536FD8" w:rsidRPr="00F45A89">
        <w:rPr>
          <w:b/>
          <w:bCs/>
        </w:rPr>
        <w:t>Taiwan, dove circa l'85% della capitalizzazione di mercato è costituita da comparti tecnologici o correlati alla tecnologia</w:t>
      </w:r>
      <w:r w:rsidR="00536FD8" w:rsidRPr="00536FD8">
        <w:t xml:space="preserve">. Nonostante la recente correzione, </w:t>
      </w:r>
      <w:r w:rsidR="00536FD8" w:rsidRPr="00F45A89">
        <w:rPr>
          <w:b/>
          <w:bCs/>
        </w:rPr>
        <w:t xml:space="preserve">Taiwan ha continuato a evidenziare il maggior premio rispetto ai mercati emergenti </w:t>
      </w:r>
      <w:r w:rsidR="00536FD8" w:rsidRPr="00536FD8">
        <w:t xml:space="preserve">negli ultimi tre decenni e le valutazioni rimangono elevate in quest'area del mercato sia in termini assoluti </w:t>
      </w:r>
      <w:r w:rsidR="00535C5F">
        <w:t>sia</w:t>
      </w:r>
      <w:r w:rsidR="00535C5F" w:rsidRPr="00E035A1">
        <w:t xml:space="preserve"> </w:t>
      </w:r>
      <w:r w:rsidR="00536FD8" w:rsidRPr="00E035A1">
        <w:t>relativi.</w:t>
      </w:r>
    </w:p>
    <w:p w14:paraId="3302950E" w14:textId="77777777" w:rsidR="00535C5F" w:rsidRDefault="00535C5F" w:rsidP="00535C5F">
      <w:pPr>
        <w:spacing w:after="0" w:line="240" w:lineRule="auto"/>
        <w:contextualSpacing/>
        <w:rPr>
          <w:u w:val="single"/>
        </w:rPr>
      </w:pPr>
    </w:p>
    <w:p w14:paraId="21CD6FC2" w14:textId="5546A262" w:rsidR="00E035A1" w:rsidRPr="00C029A1" w:rsidRDefault="00536FD8" w:rsidP="00F45A89">
      <w:pPr>
        <w:spacing w:after="0" w:line="240" w:lineRule="auto"/>
        <w:contextualSpacing/>
      </w:pPr>
      <w:r w:rsidRPr="00F45A89">
        <w:rPr>
          <w:u w:val="single"/>
        </w:rPr>
        <w:t>Ampiezza</w:t>
      </w:r>
      <w:r w:rsidR="00BF0338" w:rsidRPr="00F45A89">
        <w:rPr>
          <w:u w:val="single"/>
        </w:rPr>
        <w:br/>
      </w:r>
      <w:r w:rsidR="00BF0338">
        <w:t>I</w:t>
      </w:r>
      <w:r w:rsidRPr="00536FD8">
        <w:t xml:space="preserve">l rendimento del 7,7% dell'MSCI EM Index ad agosto 2024 </w:t>
      </w:r>
      <w:r w:rsidR="009F160A">
        <w:t>ha rappresentato</w:t>
      </w:r>
      <w:r w:rsidRPr="00536FD8">
        <w:t xml:space="preserve"> l'inizio d'anno più </w:t>
      </w:r>
      <w:r>
        <w:t>solido dell’ultimo quinquennio</w:t>
      </w:r>
      <w:r w:rsidRPr="00536FD8">
        <w:t xml:space="preserve">, ma anche il più </w:t>
      </w:r>
      <w:r w:rsidR="0081636C">
        <w:t>ridotto</w:t>
      </w:r>
      <w:r w:rsidRPr="00536FD8">
        <w:t xml:space="preserve">, </w:t>
      </w:r>
      <w:r>
        <w:t>e</w:t>
      </w:r>
      <w:r w:rsidRPr="00536FD8">
        <w:t xml:space="preserve"> solo tre titoli hanno contribuito al 70% dei rendimenti dell'indice (in Asia settentrionale i temi </w:t>
      </w:r>
      <w:r>
        <w:t>IA</w:t>
      </w:r>
      <w:r w:rsidRPr="00536FD8">
        <w:t xml:space="preserve"> e Internet</w:t>
      </w:r>
      <w:r w:rsidR="00024ED5" w:rsidRPr="00536FD8">
        <w:t xml:space="preserve">). </w:t>
      </w:r>
      <w:r w:rsidR="00A11654" w:rsidRPr="00A11654">
        <w:t xml:space="preserve">Negli </w:t>
      </w:r>
      <w:r w:rsidR="00A11654">
        <w:t>USA</w:t>
      </w:r>
      <w:r w:rsidR="00A11654" w:rsidRPr="00A11654">
        <w:t>, l'IA ha avuto origine, solo il 20% dei titoli ha registrato una sovraperformance (ad agosto 2024), il livello di ampiezza più basso degli ultimi 20</w:t>
      </w:r>
      <w:r w:rsidR="00A11654">
        <w:t xml:space="preserve"> anni</w:t>
      </w:r>
      <w:r w:rsidR="00024ED5" w:rsidRPr="00A11654">
        <w:t xml:space="preserve">. </w:t>
      </w:r>
      <w:r w:rsidR="00024ED5" w:rsidRPr="00F45A89">
        <w:rPr>
          <w:b/>
          <w:bCs/>
        </w:rPr>
        <w:t xml:space="preserve">TSMC, </w:t>
      </w:r>
      <w:r w:rsidR="00E035A1" w:rsidRPr="00F45A89">
        <w:rPr>
          <w:b/>
          <w:bCs/>
        </w:rPr>
        <w:t>la principale società di fonderia a livello globale, ha raggiunto il 10% dell’MSCI EM Index in estate</w:t>
      </w:r>
      <w:r w:rsidR="00E035A1" w:rsidRPr="00E035A1">
        <w:t xml:space="preserve">, </w:t>
      </w:r>
      <w:r w:rsidR="00E035A1">
        <w:t>la ponderazione</w:t>
      </w:r>
      <w:r w:rsidR="00E035A1" w:rsidRPr="00E035A1">
        <w:t xml:space="preserve"> più alt</w:t>
      </w:r>
      <w:r w:rsidR="00E035A1">
        <w:t>a</w:t>
      </w:r>
      <w:r w:rsidR="00E035A1" w:rsidRPr="00E035A1">
        <w:t xml:space="preserve"> degli ultimi 25 anni per </w:t>
      </w:r>
      <w:r w:rsidR="00E035A1" w:rsidRPr="00C029A1">
        <w:t>un singolo titolo.</w:t>
      </w:r>
    </w:p>
    <w:p w14:paraId="6B0BD359" w14:textId="77777777" w:rsidR="00535C5F" w:rsidRDefault="00535C5F" w:rsidP="00535C5F">
      <w:pPr>
        <w:spacing w:after="0" w:line="240" w:lineRule="auto"/>
        <w:contextualSpacing/>
        <w:rPr>
          <w:u w:val="single"/>
        </w:rPr>
      </w:pPr>
    </w:p>
    <w:p w14:paraId="226411DA" w14:textId="727CB8E1" w:rsidR="00024ED5" w:rsidRPr="00D729B3" w:rsidRDefault="00993267" w:rsidP="00F45A89">
      <w:pPr>
        <w:spacing w:after="0" w:line="240" w:lineRule="auto"/>
        <w:contextualSpacing/>
      </w:pPr>
      <w:r w:rsidRPr="00F45A89">
        <w:rPr>
          <w:u w:val="single"/>
        </w:rPr>
        <w:t>La monetizzazione per l’IA r</w:t>
      </w:r>
      <w:r w:rsidR="009F160A" w:rsidRPr="00F45A89">
        <w:rPr>
          <w:u w:val="single"/>
        </w:rPr>
        <w:t>esta</w:t>
      </w:r>
      <w:r w:rsidRPr="00F45A89">
        <w:rPr>
          <w:u w:val="single"/>
        </w:rPr>
        <w:t xml:space="preserve"> sconosciuta</w:t>
      </w:r>
      <w:r w:rsidR="00BF0338" w:rsidRPr="00F45A89">
        <w:rPr>
          <w:u w:val="single"/>
        </w:rPr>
        <w:br/>
      </w:r>
      <w:r w:rsidR="00BF0338" w:rsidRPr="00F45A89">
        <w:rPr>
          <w:b/>
          <w:bCs/>
        </w:rPr>
        <w:t>U</w:t>
      </w:r>
      <w:r w:rsidRPr="00F45A89">
        <w:rPr>
          <w:b/>
          <w:bCs/>
        </w:rPr>
        <w:t xml:space="preserve">ltimo aspetto, ma non per questo meno importante, </w:t>
      </w:r>
      <w:r w:rsidR="00BF0338" w:rsidRPr="00F45A89">
        <w:rPr>
          <w:b/>
          <w:bCs/>
        </w:rPr>
        <w:t xml:space="preserve">è </w:t>
      </w:r>
      <w:r w:rsidRPr="00F45A89">
        <w:rPr>
          <w:b/>
          <w:bCs/>
        </w:rPr>
        <w:t>la monetizzazione</w:t>
      </w:r>
      <w:r w:rsidR="00BF0338" w:rsidRPr="00F45A89">
        <w:rPr>
          <w:b/>
          <w:bCs/>
        </w:rPr>
        <w:t>, che</w:t>
      </w:r>
      <w:r w:rsidRPr="00F45A89">
        <w:rPr>
          <w:b/>
          <w:bCs/>
        </w:rPr>
        <w:t xml:space="preserve"> per l'IA è sconosciuta. </w:t>
      </w:r>
      <w:r w:rsidRPr="00993267">
        <w:t xml:space="preserve">Poiché le spese in conto capitale degli </w:t>
      </w:r>
      <w:proofErr w:type="spellStart"/>
      <w:r w:rsidR="00E16480">
        <w:t>hy</w:t>
      </w:r>
      <w:r w:rsidRPr="00993267">
        <w:t>perscaler</w:t>
      </w:r>
      <w:proofErr w:type="spellEnd"/>
      <w:r w:rsidRPr="00993267">
        <w:t xml:space="preserve"> statunitensi sono destinate a più che raddoppiare, passando da 366 miliardi di </w:t>
      </w:r>
      <w:r w:rsidR="00BF0338">
        <w:t>dollari</w:t>
      </w:r>
      <w:r>
        <w:t xml:space="preserve"> </w:t>
      </w:r>
      <w:r w:rsidRPr="00993267">
        <w:t>nei quattro anni fino al 2021 a circa 750 miliardi entro la fine de</w:t>
      </w:r>
      <w:r>
        <w:t xml:space="preserve">l </w:t>
      </w:r>
      <w:r w:rsidR="00024ED5" w:rsidRPr="00993267">
        <w:t xml:space="preserve">2025, </w:t>
      </w:r>
      <w:r>
        <w:t>l</w:t>
      </w:r>
      <w:r w:rsidRPr="00993267">
        <w:t xml:space="preserve">a questione della monetizzazione </w:t>
      </w:r>
      <w:r>
        <w:t xml:space="preserve">in rapporto a </w:t>
      </w:r>
      <w:r w:rsidRPr="00993267">
        <w:t xml:space="preserve">questi investimenti si pone in primo piano per molti investitori. </w:t>
      </w:r>
      <w:r w:rsidR="00BF0338">
        <w:br/>
      </w:r>
      <w:r w:rsidR="00BF0338">
        <w:br/>
        <w:t>Q</w:t>
      </w:r>
      <w:r>
        <w:t>ueste spese in conto capitale</w:t>
      </w:r>
      <w:r w:rsidRPr="00993267">
        <w:t xml:space="preserve"> non generano attualmente </w:t>
      </w:r>
      <w:r w:rsidRPr="0080078E">
        <w:t>alcun fatturato</w:t>
      </w:r>
      <w:r w:rsidR="00024ED5" w:rsidRPr="00C029A1">
        <w:t xml:space="preserve">. </w:t>
      </w:r>
      <w:r w:rsidR="00B30BD3">
        <w:t xml:space="preserve">Una </w:t>
      </w:r>
      <w:r w:rsidR="00B30BD3" w:rsidRPr="00B30BD3">
        <w:t xml:space="preserve">mancanza di visibilità </w:t>
      </w:r>
      <w:r w:rsidR="00B30BD3">
        <w:t>in relazione al</w:t>
      </w:r>
      <w:r w:rsidR="00B30BD3" w:rsidRPr="00B30BD3">
        <w:t xml:space="preserve"> profilo di margine previsto per le soluzioni </w:t>
      </w:r>
      <w:r w:rsidR="00B30BD3">
        <w:t xml:space="preserve">di </w:t>
      </w:r>
      <w:proofErr w:type="spellStart"/>
      <w:r w:rsidR="00B30BD3" w:rsidRPr="00B30BD3">
        <w:t>GenAI</w:t>
      </w:r>
      <w:proofErr w:type="spellEnd"/>
      <w:r w:rsidR="00B30BD3" w:rsidRPr="00B30BD3">
        <w:t xml:space="preserve"> più recenti, la suddivisione degli investimenti tra l'addestramento dei modelli (potenziale monetizzazione futura</w:t>
      </w:r>
      <w:r w:rsidR="00B30BD3" w:rsidRPr="00F52425">
        <w:t>) e l'inferenza (supporto all</w:t>
      </w:r>
      <w:r w:rsidR="009F160A" w:rsidRPr="00F52425">
        <w:t>’attuale</w:t>
      </w:r>
      <w:r w:rsidR="00B30BD3" w:rsidRPr="00F52425">
        <w:t xml:space="preserve"> monetizzazione), l</w:t>
      </w:r>
      <w:r w:rsidR="00B30BD3" w:rsidRPr="00B30BD3">
        <w:t xml:space="preserve">a </w:t>
      </w:r>
      <w:r w:rsidR="00B30BD3">
        <w:t>rendicontazione in relazione al</w:t>
      </w:r>
      <w:r w:rsidR="00B30BD3" w:rsidRPr="00B30BD3">
        <w:t xml:space="preserve"> rapporto </w:t>
      </w:r>
      <w:r w:rsidR="00B30BD3">
        <w:t xml:space="preserve">di </w:t>
      </w:r>
      <w:r w:rsidR="00B30BD3" w:rsidRPr="00B30BD3">
        <w:t xml:space="preserve">OpenAI e la </w:t>
      </w:r>
      <w:r w:rsidR="009F160A">
        <w:t>possibilità di reimpiegare le</w:t>
      </w:r>
      <w:r w:rsidR="00B30BD3">
        <w:t xml:space="preserve"> spese in conto capitale per l’</w:t>
      </w:r>
      <w:r w:rsidR="00B30BD3" w:rsidRPr="00B30BD3">
        <w:t xml:space="preserve">addestramento </w:t>
      </w:r>
      <w:r w:rsidR="009F160A">
        <w:t>relativamente</w:t>
      </w:r>
      <w:r w:rsidR="00B30BD3">
        <w:t xml:space="preserve"> alla </w:t>
      </w:r>
      <w:r w:rsidR="00B30BD3" w:rsidRPr="00B30BD3">
        <w:t>futura capacità di inferenza lasciano più domande che risposte</w:t>
      </w:r>
      <w:r w:rsidR="00024ED5" w:rsidRPr="00B30BD3">
        <w:t xml:space="preserve">. </w:t>
      </w:r>
      <w:r w:rsidR="00B30BD3" w:rsidRPr="00B30BD3">
        <w:t>Tutto questo pone</w:t>
      </w:r>
      <w:r w:rsidR="00B30BD3">
        <w:t>, a nostro giudizio,</w:t>
      </w:r>
      <w:r w:rsidR="00B30BD3" w:rsidRPr="00B30BD3">
        <w:t xml:space="preserve"> un rischio </w:t>
      </w:r>
      <w:r w:rsidR="009F160A">
        <w:t xml:space="preserve">per il </w:t>
      </w:r>
      <w:r w:rsidR="00B30BD3" w:rsidRPr="00B30BD3">
        <w:t>proseguimento de</w:t>
      </w:r>
      <w:r w:rsidR="00B30BD3">
        <w:t xml:space="preserve">ll’attuale ciclo degli utili </w:t>
      </w:r>
      <w:r w:rsidR="009F160A">
        <w:t>in relazione ai</w:t>
      </w:r>
      <w:r w:rsidR="00B30BD3">
        <w:t xml:space="preserve"> </w:t>
      </w:r>
      <w:r w:rsidR="00B30BD3" w:rsidRPr="00D729B3">
        <w:t>titoli correlati all’IA</w:t>
      </w:r>
      <w:r w:rsidR="00024ED5" w:rsidRPr="00D729B3">
        <w:t>.</w:t>
      </w:r>
    </w:p>
    <w:p w14:paraId="58513838" w14:textId="77777777" w:rsidR="0081636C" w:rsidRDefault="0081636C" w:rsidP="00535C5F">
      <w:pPr>
        <w:spacing w:after="0" w:line="240" w:lineRule="auto"/>
        <w:contextualSpacing/>
      </w:pPr>
    </w:p>
    <w:p w14:paraId="3B94B993" w14:textId="35CD74F8" w:rsidR="0081636C" w:rsidRDefault="0080078E" w:rsidP="00535C5F">
      <w:pPr>
        <w:spacing w:after="0" w:line="240" w:lineRule="auto"/>
        <w:contextualSpacing/>
      </w:pPr>
      <w:r w:rsidRPr="0080078E">
        <w:t>Di recente</w:t>
      </w:r>
      <w:r w:rsidR="00F4693B">
        <w:t>,</w:t>
      </w:r>
      <w:r w:rsidRPr="00F45A89">
        <w:rPr>
          <w:b/>
          <w:bCs/>
        </w:rPr>
        <w:t xml:space="preserve"> abbiamo assistito a una correzione dei titoli tecnologici, ma è molto modesta e non modifica il giudizio, secondo cui il settore IT, e in particolare i titoli legati all'IA, rimangono vulnerabili a ulteriori pressioni</w:t>
      </w:r>
      <w:r w:rsidRPr="0080078E">
        <w:t>, a causa delle valutazioni</w:t>
      </w:r>
      <w:r>
        <w:t xml:space="preserve"> estese</w:t>
      </w:r>
      <w:r w:rsidRPr="0080078E">
        <w:t>, del posizionamento e dei dati tecnici</w:t>
      </w:r>
      <w:r w:rsidR="00024ED5" w:rsidRPr="0080078E">
        <w:t>.</w:t>
      </w:r>
      <w:r w:rsidR="00BF0338">
        <w:t xml:space="preserve"> </w:t>
      </w:r>
    </w:p>
    <w:p w14:paraId="23E55F35" w14:textId="5E4C7554" w:rsidR="00E16480" w:rsidRDefault="00D729B3" w:rsidP="00F45A89">
      <w:pPr>
        <w:spacing w:after="0" w:line="240" w:lineRule="auto"/>
        <w:contextualSpacing/>
      </w:pPr>
      <w:r w:rsidRPr="00D729B3">
        <w:lastRenderedPageBreak/>
        <w:t>Indipendentemente dal fatto che la recente flessione di questi titoli sia l'inizio di un movimento ribassista più ampio e profondo</w:t>
      </w:r>
      <w:r w:rsidR="00F4693B">
        <w:t>,</w:t>
      </w:r>
      <w:r w:rsidRPr="00D729B3">
        <w:t xml:space="preserve"> o semplicemente una presa di profitto, </w:t>
      </w:r>
      <w:r w:rsidRPr="00F45A89">
        <w:rPr>
          <w:b/>
          <w:bCs/>
        </w:rPr>
        <w:t xml:space="preserve">riteniamo che i </w:t>
      </w:r>
      <w:r w:rsidR="00BF0338" w:rsidRPr="00F45A89">
        <w:rPr>
          <w:b/>
          <w:bCs/>
        </w:rPr>
        <w:t>mercati emergenti</w:t>
      </w:r>
      <w:r w:rsidRPr="00F45A89">
        <w:rPr>
          <w:b/>
          <w:bCs/>
        </w:rPr>
        <w:t xml:space="preserve"> potrebbero trovarsi in una posizione più forte rispetto ai mercati sviluppati.</w:t>
      </w:r>
      <w:r w:rsidRPr="00D729B3">
        <w:t xml:space="preserve"> </w:t>
      </w:r>
    </w:p>
    <w:p w14:paraId="23E35814" w14:textId="77777777" w:rsidR="0081636C" w:rsidRDefault="0081636C" w:rsidP="00535C5F">
      <w:pPr>
        <w:spacing w:after="0" w:line="240" w:lineRule="auto"/>
        <w:contextualSpacing/>
        <w:rPr>
          <w:b/>
          <w:bCs/>
        </w:rPr>
      </w:pPr>
    </w:p>
    <w:p w14:paraId="1E38955A" w14:textId="01CE3CD2" w:rsidR="00D729B3" w:rsidRDefault="00D729B3" w:rsidP="00F45A89">
      <w:pPr>
        <w:spacing w:after="0" w:line="240" w:lineRule="auto"/>
        <w:contextualSpacing/>
      </w:pPr>
      <w:r w:rsidRPr="00F45A89">
        <w:rPr>
          <w:b/>
          <w:bCs/>
        </w:rPr>
        <w:t xml:space="preserve">Il divario di valutazione tra la tecnologia sui </w:t>
      </w:r>
      <w:r w:rsidR="00BF0338" w:rsidRPr="00F45A89">
        <w:rPr>
          <w:b/>
          <w:bCs/>
        </w:rPr>
        <w:t>mercati emergenti</w:t>
      </w:r>
      <w:r w:rsidRPr="00F45A89">
        <w:rPr>
          <w:b/>
          <w:bCs/>
        </w:rPr>
        <w:t xml:space="preserve"> e sui </w:t>
      </w:r>
      <w:r w:rsidR="00BF0338" w:rsidRPr="00F45A89">
        <w:rPr>
          <w:b/>
          <w:bCs/>
        </w:rPr>
        <w:t>mercati sviluppati</w:t>
      </w:r>
      <w:r w:rsidRPr="00F45A89">
        <w:rPr>
          <w:b/>
          <w:bCs/>
        </w:rPr>
        <w:t xml:space="preserve"> è troppo ampio per essere ignorato e dovrebbe fornire un cuscinetto </w:t>
      </w:r>
      <w:r w:rsidRPr="00D729B3">
        <w:t xml:space="preserve">in caso di </w:t>
      </w:r>
      <w:r>
        <w:t>un’</w:t>
      </w:r>
      <w:r w:rsidRPr="00D729B3">
        <w:t xml:space="preserve">ulteriore debolezza o </w:t>
      </w:r>
      <w:r w:rsidR="00F4693B">
        <w:t xml:space="preserve">di </w:t>
      </w:r>
      <w:r w:rsidRPr="00D729B3">
        <w:t xml:space="preserve">un vento di coda in </w:t>
      </w:r>
      <w:r w:rsidR="00F4693B">
        <w:t>presenza di una</w:t>
      </w:r>
      <w:r w:rsidRPr="00D729B3">
        <w:t xml:space="preserve"> continua </w:t>
      </w:r>
      <w:r>
        <w:t>solidità</w:t>
      </w:r>
      <w:r w:rsidRPr="00D729B3">
        <w:t>.</w:t>
      </w:r>
    </w:p>
    <w:p w14:paraId="076E0C56" w14:textId="77777777" w:rsidR="00EC2BE0" w:rsidRPr="00D729B3" w:rsidRDefault="00EC2BE0" w:rsidP="00F45A89">
      <w:pPr>
        <w:spacing w:after="0" w:line="240" w:lineRule="auto"/>
        <w:contextualSpacing/>
      </w:pPr>
    </w:p>
    <w:sectPr w:rsidR="00EC2BE0" w:rsidRPr="00D72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367C"/>
    <w:multiLevelType w:val="multilevel"/>
    <w:tmpl w:val="C4D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60FC"/>
    <w:multiLevelType w:val="multilevel"/>
    <w:tmpl w:val="E63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F3F1D"/>
    <w:multiLevelType w:val="multilevel"/>
    <w:tmpl w:val="F98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F2687"/>
    <w:multiLevelType w:val="multilevel"/>
    <w:tmpl w:val="87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E3DC4"/>
    <w:multiLevelType w:val="multilevel"/>
    <w:tmpl w:val="A1A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549B3"/>
    <w:multiLevelType w:val="multilevel"/>
    <w:tmpl w:val="581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40A6"/>
    <w:multiLevelType w:val="multilevel"/>
    <w:tmpl w:val="DF1A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32D36"/>
    <w:multiLevelType w:val="multilevel"/>
    <w:tmpl w:val="68A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25B41"/>
    <w:multiLevelType w:val="multilevel"/>
    <w:tmpl w:val="36A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960A7"/>
    <w:multiLevelType w:val="multilevel"/>
    <w:tmpl w:val="606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0503A"/>
    <w:multiLevelType w:val="multilevel"/>
    <w:tmpl w:val="2E0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4517B"/>
    <w:multiLevelType w:val="multilevel"/>
    <w:tmpl w:val="632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218093">
    <w:abstractNumId w:val="4"/>
  </w:num>
  <w:num w:numId="2" w16cid:durableId="341859047">
    <w:abstractNumId w:val="5"/>
  </w:num>
  <w:num w:numId="3" w16cid:durableId="1785465295">
    <w:abstractNumId w:val="1"/>
  </w:num>
  <w:num w:numId="4" w16cid:durableId="1412003710">
    <w:abstractNumId w:val="10"/>
  </w:num>
  <w:num w:numId="5" w16cid:durableId="1918123537">
    <w:abstractNumId w:val="8"/>
  </w:num>
  <w:num w:numId="6" w16cid:durableId="511651338">
    <w:abstractNumId w:val="6"/>
  </w:num>
  <w:num w:numId="7" w16cid:durableId="132410118">
    <w:abstractNumId w:val="3"/>
  </w:num>
  <w:num w:numId="8" w16cid:durableId="681199444">
    <w:abstractNumId w:val="11"/>
  </w:num>
  <w:num w:numId="9" w16cid:durableId="1661041287">
    <w:abstractNumId w:val="9"/>
  </w:num>
  <w:num w:numId="10" w16cid:durableId="1856848239">
    <w:abstractNumId w:val="7"/>
  </w:num>
  <w:num w:numId="11" w16cid:durableId="1664627518">
    <w:abstractNumId w:val="2"/>
  </w:num>
  <w:num w:numId="12" w16cid:durableId="111891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D5"/>
    <w:rsid w:val="00024ED5"/>
    <w:rsid w:val="0043792F"/>
    <w:rsid w:val="00451009"/>
    <w:rsid w:val="005260B5"/>
    <w:rsid w:val="00535C5F"/>
    <w:rsid w:val="00536FD8"/>
    <w:rsid w:val="005E2518"/>
    <w:rsid w:val="006411DA"/>
    <w:rsid w:val="00696E0B"/>
    <w:rsid w:val="007C4CE3"/>
    <w:rsid w:val="0080078E"/>
    <w:rsid w:val="0081636C"/>
    <w:rsid w:val="008811F5"/>
    <w:rsid w:val="008960D7"/>
    <w:rsid w:val="008E290F"/>
    <w:rsid w:val="00993267"/>
    <w:rsid w:val="009D333C"/>
    <w:rsid w:val="009F160A"/>
    <w:rsid w:val="00A11654"/>
    <w:rsid w:val="00A161F9"/>
    <w:rsid w:val="00AA12DD"/>
    <w:rsid w:val="00AE0AF6"/>
    <w:rsid w:val="00B0038C"/>
    <w:rsid w:val="00B30BD3"/>
    <w:rsid w:val="00BB012C"/>
    <w:rsid w:val="00BF0338"/>
    <w:rsid w:val="00C029A1"/>
    <w:rsid w:val="00CC3C23"/>
    <w:rsid w:val="00D14072"/>
    <w:rsid w:val="00D729B3"/>
    <w:rsid w:val="00DD1F01"/>
    <w:rsid w:val="00E035A1"/>
    <w:rsid w:val="00E16480"/>
    <w:rsid w:val="00EC2BE0"/>
    <w:rsid w:val="00F45A89"/>
    <w:rsid w:val="00F4693B"/>
    <w:rsid w:val="00F52425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FF6F"/>
  <w15:chartTrackingRefBased/>
  <w15:docId w15:val="{16E67204-AC68-49FD-9A5F-759BA01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E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4E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E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E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E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E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E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E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4E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E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E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E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E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E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E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E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E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E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E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E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ED5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BF0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2024-10-01T10:02:00Z</dcterms:created>
  <dcterms:modified xsi:type="dcterms:W3CDTF">2024-10-07T09:35:00Z</dcterms:modified>
</cp:coreProperties>
</file>